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C7A0D" w14:textId="77777777" w:rsidR="00026B13" w:rsidRPr="005921AC" w:rsidRDefault="00026B13" w:rsidP="006A2E4E">
      <w:pPr>
        <w:pStyle w:val="Title"/>
        <w:tabs>
          <w:tab w:val="left" w:pos="90"/>
        </w:tabs>
        <w:spacing w:after="120" w:line="240" w:lineRule="auto"/>
        <w:rPr>
          <w:sz w:val="24"/>
          <w:szCs w:val="24"/>
          <w:lang w:val="en-US"/>
        </w:rPr>
      </w:pPr>
    </w:p>
    <w:p w14:paraId="6B933C3B" w14:textId="77777777" w:rsidR="00670C79" w:rsidRPr="001E20A3" w:rsidRDefault="00670C79" w:rsidP="006A2E4E">
      <w:pPr>
        <w:pStyle w:val="Title"/>
        <w:tabs>
          <w:tab w:val="left" w:pos="90"/>
        </w:tabs>
        <w:spacing w:after="120" w:line="240" w:lineRule="auto"/>
        <w:rPr>
          <w:sz w:val="24"/>
          <w:szCs w:val="24"/>
        </w:rPr>
      </w:pPr>
      <w:r w:rsidRPr="001E20A3">
        <w:rPr>
          <w:sz w:val="24"/>
          <w:szCs w:val="24"/>
        </w:rPr>
        <w:t>NOTĂ DE  FUNDAMENTARE</w:t>
      </w:r>
      <w:r w:rsidR="00662E0D" w:rsidRPr="001E20A3">
        <w:rPr>
          <w:sz w:val="24"/>
          <w:szCs w:val="24"/>
        </w:rPr>
        <w:t xml:space="preserve"> </w:t>
      </w:r>
    </w:p>
    <w:p w14:paraId="0A7A98C6" w14:textId="77777777" w:rsidR="00CE519D" w:rsidRPr="001E20A3" w:rsidRDefault="00CE519D" w:rsidP="006A2E4E">
      <w:pPr>
        <w:widowControl w:val="0"/>
        <w:tabs>
          <w:tab w:val="left" w:pos="90"/>
        </w:tabs>
        <w:spacing w:after="120"/>
        <w:jc w:val="center"/>
        <w:rPr>
          <w:b/>
        </w:rPr>
      </w:pPr>
    </w:p>
    <w:p w14:paraId="1C43A8CB" w14:textId="77777777" w:rsidR="00670C79" w:rsidRPr="001E20A3" w:rsidRDefault="00026B13" w:rsidP="006A2E4E">
      <w:pPr>
        <w:pStyle w:val="Heading6"/>
        <w:tabs>
          <w:tab w:val="left" w:pos="90"/>
        </w:tabs>
        <w:spacing w:before="0" w:line="240" w:lineRule="auto"/>
        <w:rPr>
          <w:sz w:val="24"/>
        </w:rPr>
      </w:pPr>
      <w:r w:rsidRPr="001E20A3">
        <w:rPr>
          <w:sz w:val="24"/>
        </w:rPr>
        <w:t xml:space="preserve">  </w:t>
      </w:r>
      <w:r w:rsidR="00670C79" w:rsidRPr="001E20A3">
        <w:rPr>
          <w:sz w:val="24"/>
        </w:rPr>
        <w:t>Secţiunea 1 Titlul proiectului de act normativ</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670C79" w:rsidRPr="00256214" w14:paraId="5C162C2A" w14:textId="77777777" w:rsidTr="00A65D25">
        <w:tc>
          <w:tcPr>
            <w:tcW w:w="10206" w:type="dxa"/>
          </w:tcPr>
          <w:p w14:paraId="6AAF2472" w14:textId="77777777" w:rsidR="00670C79" w:rsidRPr="001E20A3" w:rsidRDefault="006A2E4E" w:rsidP="00244124">
            <w:pPr>
              <w:widowControl w:val="0"/>
              <w:spacing w:after="120"/>
              <w:jc w:val="both"/>
              <w:rPr>
                <w:lang w:eastAsia="ro-RO"/>
              </w:rPr>
            </w:pPr>
            <w:r w:rsidRPr="001E20A3">
              <w:t>Ordonanţ</w:t>
            </w:r>
            <w:r w:rsidR="003906BF" w:rsidRPr="001E20A3">
              <w:t>ă</w:t>
            </w:r>
            <w:r w:rsidRPr="001E20A3">
              <w:t xml:space="preserve"> de urgenţă </w:t>
            </w:r>
            <w:r w:rsidR="00244124" w:rsidRPr="00244124">
              <w:t xml:space="preserve">privind unele măsuri privind beneficiarii de fonduri </w:t>
            </w:r>
            <w:r w:rsidR="00244124">
              <w:t>europene</w:t>
            </w:r>
            <w:r w:rsidR="00244124" w:rsidRPr="00244124">
              <w:t xml:space="preserve"> ca urmare a răspândirii virusului COVID-19</w:t>
            </w:r>
          </w:p>
        </w:tc>
      </w:tr>
    </w:tbl>
    <w:p w14:paraId="59A91FAC" w14:textId="77777777" w:rsidR="006A2E4E" w:rsidRPr="001E20A3" w:rsidRDefault="00670C79" w:rsidP="006A2E4E">
      <w:pPr>
        <w:tabs>
          <w:tab w:val="left" w:pos="90"/>
        </w:tabs>
        <w:spacing w:after="120"/>
        <w:rPr>
          <w:b/>
        </w:rPr>
      </w:pPr>
      <w:r w:rsidRPr="001E20A3">
        <w:t xml:space="preserve"> </w:t>
      </w:r>
      <w:r w:rsidRPr="001E20A3">
        <w:rPr>
          <w:b/>
        </w:rPr>
        <w:t xml:space="preserve">  </w:t>
      </w:r>
    </w:p>
    <w:p w14:paraId="4830F036" w14:textId="77777777" w:rsidR="00670C79" w:rsidRPr="001E20A3" w:rsidRDefault="00670C79" w:rsidP="006A2E4E">
      <w:pPr>
        <w:tabs>
          <w:tab w:val="left" w:pos="90"/>
        </w:tabs>
        <w:spacing w:after="120"/>
        <w:rPr>
          <w:b/>
        </w:rPr>
      </w:pPr>
      <w:r w:rsidRPr="001E20A3">
        <w:rPr>
          <w:b/>
        </w:rPr>
        <w:t>Secţiunea a 2-a  Motivul emiterii actului normativ</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13"/>
      </w:tblGrid>
      <w:tr w:rsidR="00670C79" w:rsidRPr="00256214" w14:paraId="5A3ABF14" w14:textId="77777777" w:rsidTr="00A65D25">
        <w:tc>
          <w:tcPr>
            <w:tcW w:w="2684" w:type="dxa"/>
          </w:tcPr>
          <w:p w14:paraId="187C2295" w14:textId="77777777" w:rsidR="00670C79" w:rsidRPr="001E20A3" w:rsidRDefault="00670C79" w:rsidP="00CB0A5E">
            <w:pPr>
              <w:pStyle w:val="BodyText2"/>
              <w:tabs>
                <w:tab w:val="left" w:pos="90"/>
              </w:tabs>
              <w:spacing w:after="120"/>
              <w:rPr>
                <w:sz w:val="24"/>
              </w:rPr>
            </w:pPr>
          </w:p>
          <w:p w14:paraId="6D47753C" w14:textId="77777777" w:rsidR="00670C79" w:rsidRPr="001E20A3" w:rsidRDefault="00670C79" w:rsidP="00CB0A5E">
            <w:pPr>
              <w:pStyle w:val="BodyText2"/>
              <w:tabs>
                <w:tab w:val="left" w:pos="90"/>
              </w:tabs>
              <w:spacing w:after="120"/>
              <w:jc w:val="left"/>
              <w:rPr>
                <w:sz w:val="24"/>
              </w:rPr>
            </w:pPr>
            <w:r w:rsidRPr="001E20A3">
              <w:rPr>
                <w:sz w:val="24"/>
              </w:rPr>
              <w:t>1.Descrierea situaţiei actuale</w:t>
            </w:r>
          </w:p>
        </w:tc>
        <w:tc>
          <w:tcPr>
            <w:tcW w:w="7513" w:type="dxa"/>
          </w:tcPr>
          <w:p w14:paraId="69696718" w14:textId="77777777" w:rsidR="00C541DA" w:rsidRPr="001E20A3" w:rsidRDefault="00C541DA" w:rsidP="00CB0A5E">
            <w:pPr>
              <w:pStyle w:val="BodyText2"/>
              <w:tabs>
                <w:tab w:val="left" w:pos="90"/>
              </w:tabs>
              <w:spacing w:after="120"/>
              <w:rPr>
                <w:rFonts w:eastAsia="Calibri"/>
                <w:bCs/>
                <w:sz w:val="24"/>
              </w:rPr>
            </w:pPr>
            <w:r w:rsidRPr="001E20A3">
              <w:rPr>
                <w:rFonts w:eastAsia="Calibri"/>
                <w:bCs/>
                <w:sz w:val="24"/>
              </w:rPr>
              <w:t>Prin Decretul nr.195/16.03.2020 privind instituirea stării de urgență pe teritoriul României, Președintele României a decretat stare</w:t>
            </w:r>
            <w:r w:rsidR="009B23F7" w:rsidRPr="001E20A3">
              <w:rPr>
                <w:rFonts w:eastAsia="Calibri"/>
                <w:bCs/>
                <w:sz w:val="24"/>
              </w:rPr>
              <w:t>a</w:t>
            </w:r>
            <w:r w:rsidRPr="001E20A3">
              <w:rPr>
                <w:rFonts w:eastAsia="Calibri"/>
                <w:bCs/>
                <w:sz w:val="24"/>
              </w:rPr>
              <w:t xml:space="preserve"> de urgență pe</w:t>
            </w:r>
            <w:r w:rsidR="009B23F7" w:rsidRPr="001E20A3">
              <w:rPr>
                <w:rFonts w:eastAsia="Calibri"/>
                <w:bCs/>
                <w:sz w:val="24"/>
              </w:rPr>
              <w:t xml:space="preserve">ntru </w:t>
            </w:r>
            <w:r w:rsidRPr="001E20A3">
              <w:rPr>
                <w:rFonts w:eastAsia="Calibri"/>
                <w:bCs/>
                <w:sz w:val="24"/>
              </w:rPr>
              <w:t>o perioadă de 30 de zile.</w:t>
            </w:r>
            <w:r w:rsidR="000702A2" w:rsidRPr="001E20A3">
              <w:rPr>
                <w:rFonts w:eastAsia="Calibri"/>
                <w:bCs/>
                <w:sz w:val="24"/>
              </w:rPr>
              <w:t xml:space="preserve"> </w:t>
            </w:r>
            <w:r w:rsidRPr="001E20A3">
              <w:rPr>
                <w:rFonts w:eastAsia="Calibri"/>
                <w:bCs/>
                <w:sz w:val="24"/>
              </w:rPr>
              <w:t>Starea de urgență a fost decretată în contextul evoluți</w:t>
            </w:r>
            <w:r w:rsidR="009B23F7" w:rsidRPr="001E20A3">
              <w:rPr>
                <w:rFonts w:eastAsia="Calibri"/>
                <w:bCs/>
                <w:sz w:val="24"/>
              </w:rPr>
              <w:t>ei</w:t>
            </w:r>
            <w:r w:rsidRPr="001E20A3">
              <w:rPr>
                <w:rFonts w:eastAsia="Calibri"/>
                <w:bCs/>
                <w:sz w:val="24"/>
              </w:rPr>
              <w:t xml:space="preserve"> situației epidemiologice internaționale determinată de răspândirea coronavirusului SARS-CoV-2 la nivelul a peste 150 de țări, în care aproximativ 160.000 de persoane au fost infectate şi peste 5.800 au decedat, precum și </w:t>
            </w:r>
            <w:r w:rsidR="009B23F7" w:rsidRPr="001E20A3">
              <w:rPr>
                <w:rFonts w:eastAsia="Calibri"/>
                <w:bCs/>
                <w:sz w:val="24"/>
              </w:rPr>
              <w:t xml:space="preserve">al </w:t>
            </w:r>
            <w:r w:rsidRPr="001E20A3">
              <w:rPr>
                <w:rFonts w:eastAsia="Calibri"/>
                <w:bCs/>
                <w:sz w:val="24"/>
              </w:rPr>
              <w:t>declar</w:t>
            </w:r>
            <w:r w:rsidR="009B23F7" w:rsidRPr="001E20A3">
              <w:rPr>
                <w:rFonts w:eastAsia="Calibri"/>
                <w:bCs/>
                <w:sz w:val="24"/>
              </w:rPr>
              <w:t>ă</w:t>
            </w:r>
            <w:r w:rsidRPr="001E20A3">
              <w:rPr>
                <w:rFonts w:eastAsia="Calibri"/>
                <w:bCs/>
                <w:sz w:val="24"/>
              </w:rPr>
              <w:t>r</w:t>
            </w:r>
            <w:r w:rsidR="009B23F7" w:rsidRPr="001E20A3">
              <w:rPr>
                <w:rFonts w:eastAsia="Calibri"/>
                <w:bCs/>
                <w:sz w:val="24"/>
              </w:rPr>
              <w:t>ii</w:t>
            </w:r>
            <w:r w:rsidRPr="001E20A3">
              <w:rPr>
                <w:rFonts w:eastAsia="Calibri"/>
                <w:bCs/>
                <w:sz w:val="24"/>
              </w:rPr>
              <w:t xml:space="preserve"> „Pandemiei“ de către Organizația Mondială a Sănătății, la data de 11.03.2020.  </w:t>
            </w:r>
          </w:p>
          <w:p w14:paraId="0BA4FDEE" w14:textId="77777777" w:rsidR="007C375E" w:rsidRPr="001E20A3" w:rsidRDefault="00C541DA" w:rsidP="00CB0A5E">
            <w:pPr>
              <w:pStyle w:val="BodyText2"/>
              <w:spacing w:after="120"/>
              <w:rPr>
                <w:rFonts w:eastAsia="Calibri"/>
                <w:bCs/>
                <w:sz w:val="24"/>
              </w:rPr>
            </w:pPr>
            <w:r w:rsidRPr="001E20A3">
              <w:rPr>
                <w:rFonts w:eastAsia="Calibri"/>
                <w:bCs/>
                <w:sz w:val="24"/>
              </w:rPr>
              <w:t>În acest context, în scopul limit</w:t>
            </w:r>
            <w:r w:rsidR="007F1956" w:rsidRPr="001E20A3">
              <w:rPr>
                <w:rFonts w:eastAsia="Calibri"/>
                <w:bCs/>
                <w:sz w:val="24"/>
              </w:rPr>
              <w:t>ă</w:t>
            </w:r>
            <w:r w:rsidRPr="001E20A3">
              <w:rPr>
                <w:rFonts w:eastAsia="Calibri"/>
                <w:bCs/>
                <w:sz w:val="24"/>
              </w:rPr>
              <w:t>r</w:t>
            </w:r>
            <w:r w:rsidR="007F1956" w:rsidRPr="001E20A3">
              <w:rPr>
                <w:rFonts w:eastAsia="Calibri"/>
                <w:bCs/>
                <w:sz w:val="24"/>
              </w:rPr>
              <w:t>ii</w:t>
            </w:r>
            <w:r w:rsidRPr="001E20A3">
              <w:rPr>
                <w:rFonts w:eastAsia="Calibri"/>
                <w:bCs/>
                <w:sz w:val="24"/>
              </w:rPr>
              <w:t xml:space="preserve"> efectelor negative determinate de limitarea sau întreruperea activităților socioeconomice</w:t>
            </w:r>
            <w:r w:rsidR="007F1956" w:rsidRPr="001E20A3">
              <w:rPr>
                <w:rFonts w:eastAsia="Calibri"/>
                <w:bCs/>
                <w:sz w:val="24"/>
              </w:rPr>
              <w:t xml:space="preserve"> se impune adoptarea în regim de urgență</w:t>
            </w:r>
            <w:r w:rsidR="00BC6172" w:rsidRPr="001E20A3">
              <w:rPr>
                <w:rFonts w:eastAsia="Calibri"/>
                <w:bCs/>
                <w:sz w:val="24"/>
              </w:rPr>
              <w:t xml:space="preserve"> a</w:t>
            </w:r>
            <w:r w:rsidR="007F1956" w:rsidRPr="001E20A3">
              <w:rPr>
                <w:rFonts w:eastAsia="Calibri"/>
                <w:bCs/>
                <w:sz w:val="24"/>
              </w:rPr>
              <w:t xml:space="preserve"> unor măsuri </w:t>
            </w:r>
            <w:r w:rsidR="00A93519" w:rsidRPr="001E20A3">
              <w:rPr>
                <w:rFonts w:eastAsia="Calibri"/>
                <w:bCs/>
                <w:sz w:val="24"/>
              </w:rPr>
              <w:t>de susținere pentru categoriile de beneficiari cele mai expuse riscului</w:t>
            </w:r>
            <w:r w:rsidR="00BC6172" w:rsidRPr="001E20A3">
              <w:rPr>
                <w:rFonts w:eastAsia="Calibri"/>
                <w:bCs/>
                <w:sz w:val="24"/>
              </w:rPr>
              <w:t>,</w:t>
            </w:r>
            <w:r w:rsidR="00A93519" w:rsidRPr="001E20A3">
              <w:rPr>
                <w:rFonts w:eastAsia="Calibri"/>
                <w:bCs/>
                <w:sz w:val="24"/>
              </w:rPr>
              <w:t xml:space="preserve"> cum sunt operatorii regionali de apă</w:t>
            </w:r>
            <w:r w:rsidR="00537836">
              <w:rPr>
                <w:rFonts w:eastAsia="Calibri"/>
                <w:bCs/>
                <w:sz w:val="24"/>
              </w:rPr>
              <w:t>,</w:t>
            </w:r>
            <w:r w:rsidR="00A93519" w:rsidRPr="001E20A3">
              <w:rPr>
                <w:rFonts w:eastAsia="Calibri"/>
                <w:bCs/>
                <w:sz w:val="24"/>
              </w:rPr>
              <w:t xml:space="preserve"> în vederea asigurării un flux suplimentar de numerar, necesar constituirii de stocuri </w:t>
            </w:r>
            <w:r w:rsidR="000702A2" w:rsidRPr="001E20A3">
              <w:rPr>
                <w:rFonts w:eastAsia="Calibri"/>
                <w:bCs/>
                <w:sz w:val="24"/>
              </w:rPr>
              <w:t>d</w:t>
            </w:r>
            <w:r w:rsidR="00A93519" w:rsidRPr="001E20A3">
              <w:rPr>
                <w:rFonts w:eastAsia="Calibri"/>
                <w:bCs/>
                <w:sz w:val="24"/>
              </w:rPr>
              <w:t xml:space="preserve">e materii prime și echipamente aferente angajamentelor legale în curs de implementare, cât și a </w:t>
            </w:r>
            <w:r w:rsidR="00537836">
              <w:rPr>
                <w:rFonts w:eastAsia="Calibri"/>
                <w:bCs/>
                <w:sz w:val="24"/>
              </w:rPr>
              <w:t>reducerii riscurilor legate de</w:t>
            </w:r>
            <w:r w:rsidR="00537836" w:rsidRPr="001E20A3">
              <w:rPr>
                <w:rFonts w:eastAsia="Calibri"/>
                <w:bCs/>
                <w:sz w:val="24"/>
              </w:rPr>
              <w:t xml:space="preserve"> </w:t>
            </w:r>
            <w:r w:rsidR="00A93519" w:rsidRPr="001E20A3">
              <w:rPr>
                <w:rFonts w:eastAsia="Calibri"/>
                <w:bCs/>
                <w:sz w:val="24"/>
              </w:rPr>
              <w:t>o serie de obligații legale cu termen redus de exigibilitate în contextul necesității de concentrare a resurselor</w:t>
            </w:r>
            <w:r w:rsidR="00537836">
              <w:rPr>
                <w:rFonts w:eastAsia="Calibri"/>
                <w:bCs/>
                <w:sz w:val="24"/>
              </w:rPr>
              <w:t xml:space="preserve"> umane</w:t>
            </w:r>
            <w:r w:rsidR="00A93519" w:rsidRPr="001E20A3">
              <w:rPr>
                <w:rFonts w:eastAsia="Calibri"/>
                <w:bCs/>
                <w:sz w:val="24"/>
              </w:rPr>
              <w:t xml:space="preserve"> în vederea asigurării continuității serviciului de apă și canalizare</w:t>
            </w:r>
            <w:r w:rsidR="003B36D3" w:rsidRPr="001E20A3">
              <w:rPr>
                <w:rFonts w:eastAsia="Calibri"/>
                <w:bCs/>
                <w:sz w:val="24"/>
              </w:rPr>
              <w:t>.</w:t>
            </w:r>
            <w:r w:rsidR="00A93519" w:rsidRPr="001E20A3">
              <w:rPr>
                <w:rFonts w:eastAsia="Calibri"/>
                <w:bCs/>
                <w:sz w:val="24"/>
              </w:rPr>
              <w:t xml:space="preserve">  </w:t>
            </w:r>
          </w:p>
          <w:p w14:paraId="53AE50C0" w14:textId="77777777" w:rsidR="007C375E" w:rsidRPr="001E20A3" w:rsidRDefault="007C375E" w:rsidP="00CB0A5E">
            <w:pPr>
              <w:pStyle w:val="BodyText2"/>
              <w:spacing w:after="120"/>
              <w:rPr>
                <w:rFonts w:eastAsia="Calibri"/>
                <w:bCs/>
                <w:sz w:val="24"/>
              </w:rPr>
            </w:pPr>
            <w:r w:rsidRPr="001E20A3">
              <w:rPr>
                <w:rFonts w:eastAsia="Calibri"/>
                <w:bCs/>
                <w:sz w:val="24"/>
              </w:rPr>
              <w:t>Ne</w:t>
            </w:r>
            <w:r w:rsidR="00BC6172" w:rsidRPr="001E20A3">
              <w:rPr>
                <w:rFonts w:eastAsia="Calibri"/>
                <w:bCs/>
                <w:sz w:val="24"/>
              </w:rPr>
              <w:t>adoptarea</w:t>
            </w:r>
            <w:r w:rsidRPr="001E20A3">
              <w:rPr>
                <w:rFonts w:eastAsia="Calibri"/>
                <w:bCs/>
                <w:sz w:val="24"/>
              </w:rPr>
              <w:t xml:space="preserve"> unor măsuri urgente, cu caracter excepțional, în domeniul </w:t>
            </w:r>
            <w:r w:rsidR="00373F5A" w:rsidRPr="001E20A3">
              <w:rPr>
                <w:rFonts w:eastAsia="Calibri"/>
                <w:bCs/>
                <w:sz w:val="24"/>
              </w:rPr>
              <w:t xml:space="preserve">fondurilor </w:t>
            </w:r>
            <w:r w:rsidR="00537836">
              <w:rPr>
                <w:rFonts w:eastAsia="Calibri"/>
                <w:bCs/>
                <w:sz w:val="24"/>
              </w:rPr>
              <w:t>europene</w:t>
            </w:r>
            <w:r w:rsidR="00537836" w:rsidRPr="001E20A3">
              <w:rPr>
                <w:rFonts w:eastAsia="Calibri"/>
                <w:bCs/>
                <w:sz w:val="24"/>
              </w:rPr>
              <w:t xml:space="preserve"> </w:t>
            </w:r>
            <w:r w:rsidRPr="001E20A3">
              <w:rPr>
                <w:rFonts w:eastAsia="Calibri"/>
                <w:bCs/>
                <w:sz w:val="24"/>
              </w:rPr>
              <w:t>ar aduce grave prejudicii</w:t>
            </w:r>
            <w:r w:rsidR="00537836">
              <w:rPr>
                <w:rFonts w:eastAsia="Calibri"/>
                <w:bCs/>
                <w:sz w:val="24"/>
              </w:rPr>
              <w:t>,</w:t>
            </w:r>
            <w:r w:rsidRPr="001E20A3">
              <w:rPr>
                <w:rFonts w:eastAsia="Calibri"/>
                <w:bCs/>
                <w:sz w:val="24"/>
              </w:rPr>
              <w:t xml:space="preserve"> cu efecte pe termen lung asupra situației </w:t>
            </w:r>
            <w:r w:rsidR="00373F5A" w:rsidRPr="001E20A3">
              <w:rPr>
                <w:rFonts w:eastAsia="Calibri"/>
                <w:bCs/>
                <w:sz w:val="24"/>
              </w:rPr>
              <w:t>proiectelor aflate în curs de implementare.</w:t>
            </w:r>
            <w:r w:rsidRPr="001E20A3">
              <w:rPr>
                <w:rFonts w:eastAsia="Calibri"/>
                <w:bCs/>
                <w:sz w:val="24"/>
              </w:rPr>
              <w:t xml:space="preserve"> </w:t>
            </w:r>
          </w:p>
          <w:p w14:paraId="615CC5EA" w14:textId="77777777" w:rsidR="00C541DA" w:rsidRPr="001E20A3" w:rsidRDefault="007C375E" w:rsidP="00CB0A5E">
            <w:pPr>
              <w:pStyle w:val="BodyText2"/>
              <w:spacing w:after="120"/>
              <w:rPr>
                <w:rFonts w:eastAsia="Calibri"/>
                <w:bCs/>
                <w:sz w:val="24"/>
              </w:rPr>
            </w:pPr>
            <w:r w:rsidRPr="001E20A3">
              <w:rPr>
                <w:rFonts w:eastAsia="Calibri"/>
                <w:bCs/>
                <w:sz w:val="24"/>
              </w:rPr>
              <w:t>Împrejurările de față vizează interesul public și constituie elementele unei situații extraordinare ce nu suferă amânare</w:t>
            </w:r>
            <w:r w:rsidR="00BC6172" w:rsidRPr="001E20A3">
              <w:rPr>
                <w:rFonts w:eastAsia="Calibri"/>
                <w:bCs/>
                <w:sz w:val="24"/>
              </w:rPr>
              <w:t xml:space="preserve">, astfel încât </w:t>
            </w:r>
            <w:r w:rsidRPr="001E20A3">
              <w:rPr>
                <w:rFonts w:eastAsia="Calibri"/>
                <w:bCs/>
                <w:sz w:val="24"/>
              </w:rPr>
              <w:t xml:space="preserve">se impune reglementarea unor măsuri </w:t>
            </w:r>
            <w:r w:rsidR="00537836">
              <w:rPr>
                <w:rFonts w:eastAsia="Calibri"/>
                <w:bCs/>
                <w:sz w:val="24"/>
              </w:rPr>
              <w:t xml:space="preserve">tehnice și </w:t>
            </w:r>
            <w:r w:rsidRPr="001E20A3">
              <w:rPr>
                <w:rFonts w:eastAsia="Calibri"/>
                <w:bCs/>
                <w:sz w:val="24"/>
              </w:rPr>
              <w:t>de protecție socială pe perioada stării de urgență.</w:t>
            </w:r>
          </w:p>
          <w:p w14:paraId="3F219EFD" w14:textId="77777777" w:rsidR="00D52251" w:rsidRPr="001E20A3" w:rsidRDefault="00BC6172" w:rsidP="00CB0A5E">
            <w:pPr>
              <w:tabs>
                <w:tab w:val="left" w:pos="90"/>
              </w:tabs>
              <w:spacing w:after="120"/>
              <w:jc w:val="both"/>
              <w:rPr>
                <w:rFonts w:eastAsia="Calibri"/>
                <w:bCs/>
              </w:rPr>
            </w:pPr>
            <w:r w:rsidRPr="001E20A3">
              <w:rPr>
                <w:rFonts w:eastAsia="Calibri"/>
                <w:bCs/>
              </w:rPr>
              <w:t xml:space="preserve">Ordonanţa de urgenţă a Guvernului nr. 40/2015 privind gestionarea financiară a fondurilor europene pentru perioada de programare 2014-2020, aprobată cu modificări și completări prin Legea nr. 105/2016, cu modificările şi completările ulterioare, </w:t>
            </w:r>
            <w:r w:rsidR="00D52251" w:rsidRPr="001E20A3">
              <w:rPr>
                <w:rFonts w:eastAsia="Calibri"/>
                <w:bCs/>
              </w:rPr>
              <w:t>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prefinanțării și cofinanțării aferente acestei asistențe, în vederea asigurării unui management financiar eficient al acestor fonduri.</w:t>
            </w:r>
          </w:p>
          <w:p w14:paraId="07DD28DB" w14:textId="77777777" w:rsidR="00CE519D" w:rsidRPr="001E20A3" w:rsidRDefault="00CE519D" w:rsidP="00CB0A5E">
            <w:pPr>
              <w:tabs>
                <w:tab w:val="left" w:pos="90"/>
              </w:tabs>
              <w:spacing w:after="120"/>
              <w:jc w:val="both"/>
              <w:rPr>
                <w:rFonts w:eastAsia="Calibri"/>
                <w:bCs/>
              </w:rPr>
            </w:pPr>
            <w:r w:rsidRPr="001E20A3">
              <w:rPr>
                <w:rFonts w:eastAsia="Calibri"/>
                <w:bCs/>
              </w:rPr>
              <w:lastRenderedPageBreak/>
              <w:t>Forma actuală a</w:t>
            </w:r>
            <w:r w:rsidR="00BC6172" w:rsidRPr="001E20A3">
              <w:rPr>
                <w:rFonts w:eastAsia="Calibri"/>
                <w:bCs/>
              </w:rPr>
              <w:t xml:space="preserve"> acestui act normativ</w:t>
            </w:r>
            <w:r w:rsidRPr="001E20A3">
              <w:rPr>
                <w:rFonts w:eastAsia="Calibri"/>
                <w:bCs/>
              </w:rPr>
              <w:t xml:space="preserve"> prevede că</w:t>
            </w:r>
            <w:r w:rsidR="00BC6172" w:rsidRPr="001E20A3">
              <w:rPr>
                <w:rFonts w:eastAsia="Calibri"/>
                <w:bCs/>
              </w:rPr>
              <w:t>,</w:t>
            </w:r>
            <w:r w:rsidRPr="001E20A3">
              <w:rPr>
                <w:rFonts w:eastAsia="Calibri"/>
                <w:bCs/>
              </w:rPr>
              <w:t xml:space="preserve"> pentru proiectele finanţate din Fondul european de dezvoltare regională, Fondul de coeziune, Fondul social european, Fondul de ajutor european destinat celor mai defavorizate persoane prefinanţarea se acordă beneficiarilor/liderilor de parteneriat/partenerilor alţii decât cei prevăzuţi la art. 6 alin. (1)-(4) şi (6) în tranşe de maximum 10% din valoarea eligibilă a proiectului, fără depăşirea valorii totale eligibile a contractului de finanţare.</w:t>
            </w:r>
          </w:p>
          <w:p w14:paraId="4A74FDF9" w14:textId="77777777" w:rsidR="00CE519D" w:rsidRPr="001E20A3" w:rsidRDefault="00CE519D" w:rsidP="00CB0A5E">
            <w:pPr>
              <w:tabs>
                <w:tab w:val="left" w:pos="90"/>
              </w:tabs>
              <w:spacing w:after="120"/>
              <w:jc w:val="both"/>
              <w:rPr>
                <w:rFonts w:eastAsia="Calibri"/>
                <w:bCs/>
              </w:rPr>
            </w:pPr>
            <w:r w:rsidRPr="001E20A3">
              <w:rPr>
                <w:rFonts w:eastAsia="Calibri"/>
                <w:bCs/>
              </w:rPr>
              <w:t>Beneficiarii/</w:t>
            </w:r>
            <w:r w:rsidR="00A87CB4">
              <w:rPr>
                <w:rFonts w:eastAsia="Calibri"/>
                <w:bCs/>
              </w:rPr>
              <w:t>l</w:t>
            </w:r>
            <w:r w:rsidRPr="001E20A3">
              <w:rPr>
                <w:rFonts w:eastAsia="Calibri"/>
                <w:bCs/>
              </w:rPr>
              <w:t>iderii</w:t>
            </w:r>
            <w:r w:rsidR="00A87CB4">
              <w:rPr>
                <w:rFonts w:eastAsia="Calibri"/>
                <w:bCs/>
              </w:rPr>
              <w:t xml:space="preserve"> de parteneriat</w:t>
            </w:r>
            <w:r w:rsidRPr="001E20A3">
              <w:rPr>
                <w:rFonts w:eastAsia="Calibri"/>
                <w:bCs/>
              </w:rPr>
              <w:t xml:space="preserve"> au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5401DF1" w14:textId="77777777" w:rsidR="00CE519D" w:rsidRPr="001E20A3" w:rsidRDefault="00CE519D" w:rsidP="00CB0A5E">
            <w:pPr>
              <w:widowControl w:val="0"/>
              <w:spacing w:after="120"/>
              <w:jc w:val="both"/>
              <w:rPr>
                <w:rFonts w:eastAsia="Calibri"/>
                <w:bCs/>
              </w:rPr>
            </w:pPr>
            <w:r w:rsidRPr="001E20A3">
              <w:rPr>
                <w:rFonts w:eastAsia="Calibri"/>
                <w:bCs/>
              </w:rPr>
              <w:t>Mecanismul decontării cererilor de plată preve</w:t>
            </w:r>
            <w:r w:rsidR="00C04446" w:rsidRPr="001E20A3">
              <w:rPr>
                <w:rFonts w:eastAsia="Calibri"/>
                <w:bCs/>
              </w:rPr>
              <w:t>de obligativitatea</w:t>
            </w:r>
            <w:r w:rsidRPr="001E20A3">
              <w:rPr>
                <w:rFonts w:eastAsia="Calibri"/>
                <w:bCs/>
              </w:rPr>
              <w:t xml:space="preserve"> beneficiari</w:t>
            </w:r>
            <w:r w:rsidR="00C04446" w:rsidRPr="001E20A3">
              <w:rPr>
                <w:rFonts w:eastAsia="Calibri"/>
                <w:bCs/>
              </w:rPr>
              <w:t>lor/l</w:t>
            </w:r>
            <w:r w:rsidRPr="001E20A3">
              <w:rPr>
                <w:rFonts w:eastAsia="Calibri"/>
                <w:bCs/>
              </w:rPr>
              <w:t>ideri</w:t>
            </w:r>
            <w:r w:rsidR="00C04446" w:rsidRPr="001E20A3">
              <w:rPr>
                <w:rFonts w:eastAsia="Calibri"/>
                <w:bCs/>
              </w:rPr>
              <w:t>lor</w:t>
            </w:r>
            <w:r w:rsidRPr="001E20A3">
              <w:rPr>
                <w:rFonts w:eastAsia="Calibri"/>
                <w:bCs/>
              </w:rPr>
              <w:t xml:space="preserve"> de parteneriat/</w:t>
            </w:r>
            <w:r w:rsidR="00C04446" w:rsidRPr="001E20A3">
              <w:rPr>
                <w:rFonts w:eastAsia="Calibri"/>
                <w:bCs/>
              </w:rPr>
              <w:t>p</w:t>
            </w:r>
            <w:r w:rsidRPr="001E20A3">
              <w:rPr>
                <w:rFonts w:eastAsia="Calibri"/>
                <w:bCs/>
              </w:rPr>
              <w:t>arteneri</w:t>
            </w:r>
            <w:r w:rsidR="00C04446" w:rsidRPr="001E20A3">
              <w:rPr>
                <w:rFonts w:eastAsia="Calibri"/>
                <w:bCs/>
              </w:rPr>
              <w:t>lor</w:t>
            </w:r>
            <w:r w:rsidRPr="001E20A3">
              <w:rPr>
                <w:rFonts w:eastAsia="Calibri"/>
                <w:bCs/>
              </w:rPr>
              <w:t xml:space="preserve">, alţii decât cei prevăzuţi la art. 6 şi 7, de a achita integral contribuţia proprie aferentă cheltuielilor eligibile incluse în documentele anexate cererii de plată. </w:t>
            </w:r>
          </w:p>
          <w:p w14:paraId="07C949EC" w14:textId="77777777" w:rsidR="00CE519D" w:rsidRPr="001E20A3" w:rsidRDefault="00CE519D" w:rsidP="00CB0A5E">
            <w:pPr>
              <w:widowControl w:val="0"/>
              <w:spacing w:after="120"/>
              <w:jc w:val="both"/>
              <w:rPr>
                <w:rFonts w:eastAsia="Calibri"/>
                <w:bCs/>
              </w:rPr>
            </w:pPr>
            <w:r w:rsidRPr="001E20A3">
              <w:rPr>
                <w:rFonts w:eastAsia="Calibri"/>
                <w:bCs/>
              </w:rPr>
              <w:t>În termen de maximum 10 zile lucrătoare de la data încasării sumelor virate de către autoritatea de management, beneficiarii au obligaţia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w:t>
            </w:r>
          </w:p>
          <w:p w14:paraId="50258C05" w14:textId="77777777" w:rsidR="00CE519D" w:rsidRDefault="00C04446" w:rsidP="00CB0A5E">
            <w:pPr>
              <w:widowControl w:val="0"/>
              <w:spacing w:after="120"/>
              <w:jc w:val="both"/>
              <w:rPr>
                <w:rFonts w:eastAsia="Calibri"/>
                <w:bCs/>
              </w:rPr>
            </w:pPr>
            <w:r w:rsidRPr="001E20A3">
              <w:rPr>
                <w:rFonts w:eastAsia="Calibri"/>
                <w:bCs/>
              </w:rPr>
              <w:t>Mecanismul decontării cererilor de plată prevede obligativitatea beneficiarilor</w:t>
            </w:r>
            <w:r w:rsidR="00CE519D" w:rsidRPr="001E20A3">
              <w:rPr>
                <w:rFonts w:eastAsia="Calibri"/>
                <w:bCs/>
              </w:rPr>
              <w:t>/</w:t>
            </w:r>
            <w:r w:rsidRPr="001E20A3">
              <w:rPr>
                <w:rFonts w:eastAsia="Calibri"/>
                <w:bCs/>
              </w:rPr>
              <w:t>l</w:t>
            </w:r>
            <w:r w:rsidR="00CE519D" w:rsidRPr="001E20A3">
              <w:rPr>
                <w:rFonts w:eastAsia="Calibri"/>
                <w:bCs/>
              </w:rPr>
              <w:t>ideri</w:t>
            </w:r>
            <w:r w:rsidRPr="001E20A3">
              <w:rPr>
                <w:rFonts w:eastAsia="Calibri"/>
                <w:bCs/>
              </w:rPr>
              <w:t>lor</w:t>
            </w:r>
            <w:r w:rsidR="00CE519D" w:rsidRPr="001E20A3">
              <w:rPr>
                <w:rFonts w:eastAsia="Calibri"/>
                <w:bCs/>
              </w:rPr>
              <w:t xml:space="preserve"> de parteneriat de a depune la autorităţile de management/organismele intermediare cereri de rambursare pentru cheltuielile efectuate, în termen de maximum 3 luni de la efectuarea acestora, cu excepţia cheltuielilor efectuate înainte de semnarea contractului de finanţare.</w:t>
            </w:r>
          </w:p>
          <w:p w14:paraId="4B7978E1" w14:textId="77777777" w:rsidR="00D35543" w:rsidRDefault="00D35543" w:rsidP="00D35543">
            <w:pPr>
              <w:widowControl w:val="0"/>
              <w:spacing w:after="120"/>
              <w:jc w:val="both"/>
              <w:rPr>
                <w:rFonts w:eastAsia="Calibri"/>
                <w:bCs/>
              </w:rPr>
            </w:pPr>
            <w:r>
              <w:rPr>
                <w:rFonts w:eastAsia="Calibri"/>
                <w:bCs/>
              </w:rPr>
              <w:t>Mecanismul rambursării cheltuielilor stabilește obligativitatea b</w:t>
            </w:r>
            <w:r w:rsidRPr="00D35543">
              <w:rPr>
                <w:rFonts w:eastAsia="Calibri"/>
                <w:bCs/>
              </w:rPr>
              <w:t>eneficiari</w:t>
            </w:r>
            <w:r>
              <w:rPr>
                <w:rFonts w:eastAsia="Calibri"/>
                <w:bCs/>
              </w:rPr>
              <w:t xml:space="preserve">lor </w:t>
            </w:r>
            <w:r w:rsidRPr="00D35543">
              <w:rPr>
                <w:rFonts w:eastAsia="Calibri"/>
                <w:bCs/>
              </w:rPr>
              <w:t>de a depune cereri de rambursare</w:t>
            </w:r>
            <w:r>
              <w:rPr>
                <w:rFonts w:eastAsia="Calibri"/>
                <w:bCs/>
              </w:rPr>
              <w:t xml:space="preserve"> pentru cheltuielile efectuate </w:t>
            </w:r>
            <w:r w:rsidRPr="00D35543">
              <w:rPr>
                <w:rFonts w:eastAsia="Calibri"/>
                <w:bCs/>
              </w:rPr>
              <w:t>în termen de maximum 3</w:t>
            </w:r>
            <w:r w:rsidR="004F2D35">
              <w:rPr>
                <w:rFonts w:eastAsia="Calibri"/>
                <w:bCs/>
              </w:rPr>
              <w:t xml:space="preserve"> luni de la efectuarea acestora.</w:t>
            </w:r>
          </w:p>
          <w:p w14:paraId="0E1F1A25" w14:textId="77777777" w:rsidR="00D35543" w:rsidRPr="001E20A3" w:rsidRDefault="00D35543" w:rsidP="00D35543">
            <w:pPr>
              <w:widowControl w:val="0"/>
              <w:spacing w:after="120"/>
              <w:jc w:val="both"/>
              <w:rPr>
                <w:rFonts w:eastAsia="Calibri"/>
                <w:bCs/>
              </w:rPr>
            </w:pPr>
            <w:r>
              <w:rPr>
                <w:rFonts w:eastAsia="Calibri"/>
                <w:bCs/>
              </w:rPr>
              <w:t>A</w:t>
            </w:r>
            <w:r w:rsidRPr="00D35543">
              <w:rPr>
                <w:rFonts w:eastAsia="Calibri"/>
                <w:bCs/>
              </w:rPr>
              <w:t xml:space="preserve">utoritatea de management autorizează cheltuielile eligibile cuprinse în cererea de rambursare </w:t>
            </w:r>
            <w:r>
              <w:rPr>
                <w:rFonts w:eastAsia="Calibri"/>
                <w:bCs/>
              </w:rPr>
              <w:t>ȋ</w:t>
            </w:r>
            <w:r w:rsidRPr="00D35543">
              <w:rPr>
                <w:rFonts w:eastAsia="Calibri"/>
                <w:bCs/>
              </w:rPr>
              <w:t>n termen de maximum 20 de zile lucrătoare de la dat</w:t>
            </w:r>
            <w:r>
              <w:rPr>
                <w:rFonts w:eastAsia="Calibri"/>
                <w:bCs/>
              </w:rPr>
              <w:t xml:space="preserve">a depunerii de către beneficiar </w:t>
            </w:r>
            <w:r w:rsidRPr="00D35543">
              <w:rPr>
                <w:rFonts w:eastAsia="Calibri"/>
                <w:bCs/>
              </w:rPr>
              <w:t>a cererii de rambursare întocmite conform contractului/ deciziei/ordinului de finanţare</w:t>
            </w:r>
            <w:r>
              <w:rPr>
                <w:rFonts w:eastAsia="Calibri"/>
                <w:bCs/>
              </w:rPr>
              <w:t>.</w:t>
            </w:r>
          </w:p>
        </w:tc>
      </w:tr>
      <w:tr w:rsidR="00670C79" w:rsidRPr="00256214" w14:paraId="38927E83" w14:textId="77777777" w:rsidTr="00A65D25">
        <w:tc>
          <w:tcPr>
            <w:tcW w:w="2684" w:type="dxa"/>
          </w:tcPr>
          <w:p w14:paraId="1AC1409A" w14:textId="77777777" w:rsidR="00670C79" w:rsidRPr="001E20A3" w:rsidRDefault="00670C79" w:rsidP="00CB0A5E">
            <w:pPr>
              <w:pStyle w:val="BodyText2"/>
              <w:tabs>
                <w:tab w:val="left" w:pos="90"/>
              </w:tabs>
              <w:spacing w:after="120"/>
              <w:rPr>
                <w:sz w:val="24"/>
              </w:rPr>
            </w:pPr>
            <w:r w:rsidRPr="001E20A3">
              <w:rPr>
                <w:sz w:val="24"/>
              </w:rPr>
              <w:lastRenderedPageBreak/>
              <w:t>1</w:t>
            </w:r>
            <w:r w:rsidRPr="001E20A3">
              <w:rPr>
                <w:sz w:val="24"/>
                <w:vertAlign w:val="superscript"/>
              </w:rPr>
              <w:t>1</w:t>
            </w:r>
            <w:r w:rsidRPr="001E20A3">
              <w:rPr>
                <w:sz w:val="24"/>
              </w:rPr>
              <w:t>. În cazul proiectelor de acte normative care transpun legislaţie comunitară sau anexa crează cadrul pentru aplicarea directă a acesteia</w:t>
            </w:r>
          </w:p>
        </w:tc>
        <w:tc>
          <w:tcPr>
            <w:tcW w:w="7513" w:type="dxa"/>
          </w:tcPr>
          <w:p w14:paraId="02D821BA" w14:textId="77777777" w:rsidR="00670C79" w:rsidRPr="001E20A3" w:rsidRDefault="00670C79" w:rsidP="00CB0A5E">
            <w:pPr>
              <w:tabs>
                <w:tab w:val="left" w:pos="90"/>
              </w:tabs>
              <w:spacing w:after="120"/>
              <w:jc w:val="both"/>
              <w:rPr>
                <w:rFonts w:eastAsia="Calibri"/>
                <w:bCs/>
              </w:rPr>
            </w:pPr>
            <w:r w:rsidRPr="001E20A3">
              <w:rPr>
                <w:rFonts w:eastAsia="Calibri"/>
                <w:bCs/>
              </w:rPr>
              <w:t>Proiectul de act normativ nu se referă la acest subiect.</w:t>
            </w:r>
          </w:p>
        </w:tc>
      </w:tr>
      <w:tr w:rsidR="00670C79" w:rsidRPr="00256214" w14:paraId="7610DF2E" w14:textId="77777777" w:rsidTr="00A65D25">
        <w:tc>
          <w:tcPr>
            <w:tcW w:w="2684" w:type="dxa"/>
          </w:tcPr>
          <w:p w14:paraId="670C4C4B" w14:textId="77777777" w:rsidR="00670C79" w:rsidRPr="001E20A3" w:rsidRDefault="00670C79" w:rsidP="00CB0A5E">
            <w:pPr>
              <w:tabs>
                <w:tab w:val="left" w:pos="90"/>
              </w:tabs>
              <w:spacing w:after="120"/>
              <w:jc w:val="both"/>
            </w:pPr>
            <w:r w:rsidRPr="001E20A3">
              <w:lastRenderedPageBreak/>
              <w:t>2.Schimbări preconizate</w:t>
            </w:r>
          </w:p>
        </w:tc>
        <w:tc>
          <w:tcPr>
            <w:tcW w:w="7513" w:type="dxa"/>
          </w:tcPr>
          <w:p w14:paraId="5DD7CEE2" w14:textId="77777777" w:rsidR="00C04446" w:rsidRPr="00EA658A" w:rsidRDefault="00C04446" w:rsidP="00CB0A5E">
            <w:pPr>
              <w:autoSpaceDE w:val="0"/>
              <w:autoSpaceDN w:val="0"/>
              <w:adjustRightInd w:val="0"/>
              <w:spacing w:after="120"/>
              <w:jc w:val="both"/>
              <w:rPr>
                <w:rFonts w:eastAsia="Calibri"/>
                <w:bCs/>
              </w:rPr>
            </w:pPr>
            <w:r w:rsidRPr="001E20A3">
              <w:rPr>
                <w:rFonts w:eastAsia="Calibri"/>
                <w:bCs/>
              </w:rPr>
              <w:t>Decretul Președintelui României nr.</w:t>
            </w:r>
            <w:r w:rsidR="00BC6172" w:rsidRPr="001E20A3">
              <w:rPr>
                <w:rFonts w:eastAsia="Calibri"/>
                <w:bCs/>
              </w:rPr>
              <w:t xml:space="preserve"> </w:t>
            </w:r>
            <w:r w:rsidRPr="001E20A3">
              <w:rPr>
                <w:rFonts w:eastAsia="Calibri"/>
                <w:bCs/>
              </w:rPr>
              <w:t>19</w:t>
            </w:r>
            <w:r w:rsidR="00BC6172" w:rsidRPr="001E20A3">
              <w:rPr>
                <w:rFonts w:eastAsia="Calibri"/>
                <w:bCs/>
              </w:rPr>
              <w:t>5/</w:t>
            </w:r>
            <w:r w:rsidRPr="001E20A3">
              <w:rPr>
                <w:rFonts w:eastAsia="Calibri"/>
                <w:bCs/>
              </w:rPr>
              <w:t>16</w:t>
            </w:r>
            <w:r w:rsidR="00BC6172" w:rsidRPr="001E20A3">
              <w:rPr>
                <w:rFonts w:eastAsia="Calibri"/>
                <w:bCs/>
              </w:rPr>
              <w:t>.03.</w:t>
            </w:r>
            <w:r w:rsidRPr="001E20A3">
              <w:rPr>
                <w:rFonts w:eastAsia="Calibri"/>
                <w:bCs/>
              </w:rPr>
              <w:t>2020 privind instituirea stării de urgenţă pe teritoriul României prevede</w:t>
            </w:r>
            <w:r w:rsidR="00BC6172" w:rsidRPr="001E20A3">
              <w:rPr>
                <w:rFonts w:eastAsia="Calibri"/>
                <w:bCs/>
              </w:rPr>
              <w:t>,</w:t>
            </w:r>
            <w:r w:rsidRPr="001E20A3">
              <w:rPr>
                <w:rFonts w:eastAsia="Calibri"/>
                <w:bCs/>
              </w:rPr>
              <w:t xml:space="preserve"> la art. 8</w:t>
            </w:r>
            <w:r w:rsidR="00BC6172" w:rsidRPr="001E20A3">
              <w:rPr>
                <w:rFonts w:eastAsia="Calibri"/>
                <w:bCs/>
              </w:rPr>
              <w:t>,</w:t>
            </w:r>
            <w:r w:rsidRPr="001E20A3">
              <w:rPr>
                <w:rFonts w:eastAsia="Calibri"/>
                <w:bCs/>
              </w:rPr>
              <w:t xml:space="preserve"> ca măsură de primă urgență cu aplicabilitate directă ȋn domeniul economic</w:t>
            </w:r>
            <w:r w:rsidR="00BC6172" w:rsidRPr="001E20A3">
              <w:rPr>
                <w:rFonts w:eastAsia="Calibri"/>
                <w:bCs/>
              </w:rPr>
              <w:t>,</w:t>
            </w:r>
            <w:r w:rsidRPr="001E20A3">
              <w:rPr>
                <w:rFonts w:eastAsia="Calibri"/>
                <w:bCs/>
              </w:rPr>
              <w:t xml:space="preserve"> următoarele: „Guvernul poate adopta măsuri de susţinere a operatorilor economici din domeniile afectate de COVID-19.</w:t>
            </w:r>
            <w:r w:rsidR="00EA658A">
              <w:rPr>
                <w:rFonts w:eastAsia="Calibri"/>
                <w:bCs/>
              </w:rPr>
              <w:t>”</w:t>
            </w:r>
          </w:p>
          <w:p w14:paraId="3B2894AF" w14:textId="77777777" w:rsidR="00C04446" w:rsidRPr="001E20A3" w:rsidRDefault="00BC6172" w:rsidP="00CB0A5E">
            <w:pPr>
              <w:autoSpaceDE w:val="0"/>
              <w:autoSpaceDN w:val="0"/>
              <w:adjustRightInd w:val="0"/>
              <w:spacing w:after="120"/>
              <w:jc w:val="both"/>
              <w:rPr>
                <w:rFonts w:eastAsia="Calibri"/>
                <w:bCs/>
              </w:rPr>
            </w:pPr>
            <w:r w:rsidRPr="001E20A3">
              <w:rPr>
                <w:bCs/>
              </w:rPr>
              <w:t>Totodată,</w:t>
            </w:r>
            <w:r w:rsidR="00C04446" w:rsidRPr="001E20A3">
              <w:rPr>
                <w:bCs/>
              </w:rPr>
              <w:t xml:space="preserve"> </w:t>
            </w:r>
            <w:r w:rsidRPr="001E20A3">
              <w:rPr>
                <w:rFonts w:eastAsia="Calibri"/>
                <w:bCs/>
              </w:rPr>
              <w:t>prin decret sunt</w:t>
            </w:r>
            <w:r w:rsidR="00C04446" w:rsidRPr="001E20A3">
              <w:rPr>
                <w:rFonts w:eastAsia="Calibri"/>
                <w:bCs/>
              </w:rPr>
              <w:t xml:space="preserve"> stabil</w:t>
            </w:r>
            <w:r w:rsidRPr="001E20A3">
              <w:rPr>
                <w:rFonts w:eastAsia="Calibri"/>
                <w:bCs/>
              </w:rPr>
              <w:t>ite</w:t>
            </w:r>
            <w:r w:rsidR="00C04446" w:rsidRPr="001E20A3">
              <w:rPr>
                <w:bCs/>
              </w:rPr>
              <w:t xml:space="preserve"> măsuri de carantină/izolare la domiciliu/suspendare a activității instituțiilor de învățământ/angrenare a instituțiilor publice în procent majoritar în activități legate de situația generată de epidemia COVID-19/</w:t>
            </w:r>
            <w:r w:rsidR="00C04446" w:rsidRPr="001E20A3">
              <w:t>reducere a activității operatorilor economici, ceea ce va determina inevitabil întârzieri în implementarea proiectelor finanțate din fonduri europene, cu perturbarea fluxului financiar (depunerea cererilor de rambursare/cererilor de plată de către beneficiari) sau chiar suspendarea /rezilierea contractelor de finanțare.</w:t>
            </w:r>
          </w:p>
          <w:p w14:paraId="1EDCDC96" w14:textId="77777777" w:rsidR="00C04446" w:rsidRPr="001E20A3" w:rsidRDefault="00C04446" w:rsidP="00CB0A5E">
            <w:pPr>
              <w:widowControl w:val="0"/>
              <w:spacing w:after="120"/>
              <w:jc w:val="both"/>
              <w:rPr>
                <w:rFonts w:eastAsia="Calibri"/>
                <w:bCs/>
              </w:rPr>
            </w:pPr>
            <w:r w:rsidRPr="001E20A3">
              <w:rPr>
                <w:rFonts w:eastAsia="Calibri"/>
                <w:bCs/>
              </w:rPr>
              <w:t xml:space="preserve">Ȋn consecință, pentru </w:t>
            </w:r>
            <w:r w:rsidR="00D81ED9" w:rsidRPr="001E20A3">
              <w:rPr>
                <w:rFonts w:eastAsia="Calibri"/>
                <w:bCs/>
              </w:rPr>
              <w:t>diminuarea riscul</w:t>
            </w:r>
            <w:r w:rsidRPr="001E20A3">
              <w:rPr>
                <w:rFonts w:eastAsia="Calibri"/>
                <w:bCs/>
              </w:rPr>
              <w:t>ui de reziliere a contractelor de finan</w:t>
            </w:r>
            <w:r w:rsidR="00D81ED9" w:rsidRPr="001E20A3">
              <w:rPr>
                <w:rFonts w:eastAsia="Calibri"/>
                <w:bCs/>
              </w:rPr>
              <w:t>țare</w:t>
            </w:r>
            <w:r w:rsidR="00EA658A">
              <w:rPr>
                <w:rFonts w:eastAsia="Calibri"/>
                <w:bCs/>
              </w:rPr>
              <w:t xml:space="preserve"> ca</w:t>
            </w:r>
            <w:r w:rsidR="00D81ED9" w:rsidRPr="001E20A3">
              <w:rPr>
                <w:rFonts w:eastAsia="Calibri"/>
                <w:bCs/>
              </w:rPr>
              <w:t xml:space="preserve"> urmare a </w:t>
            </w:r>
            <w:r w:rsidRPr="001E20A3">
              <w:rPr>
                <w:rFonts w:eastAsia="Calibri"/>
                <w:bCs/>
              </w:rPr>
              <w:t>accesul</w:t>
            </w:r>
            <w:r w:rsidR="00D81ED9" w:rsidRPr="001E20A3">
              <w:rPr>
                <w:rFonts w:eastAsia="Calibri"/>
                <w:bCs/>
              </w:rPr>
              <w:t>ui</w:t>
            </w:r>
            <w:r w:rsidRPr="001E20A3">
              <w:rPr>
                <w:rFonts w:eastAsia="Calibri"/>
                <w:bCs/>
              </w:rPr>
              <w:t xml:space="preserve"> limitat al beneficiarilor la resursele umane necesare pregătirii documentelor aferente prefinanțărilor/cererilor de plată/cererilor de rambursare</w:t>
            </w:r>
            <w:r w:rsidR="00135D7F" w:rsidRPr="001E20A3">
              <w:rPr>
                <w:rFonts w:eastAsia="Calibri"/>
                <w:bCs/>
              </w:rPr>
              <w:t>,</w:t>
            </w:r>
            <w:r w:rsidRPr="001E20A3">
              <w:rPr>
                <w:rFonts w:eastAsia="Calibri"/>
                <w:bCs/>
              </w:rPr>
              <w:t xml:space="preserve"> se impune flexibilizarea termenelor procedurale stabilite prin </w:t>
            </w:r>
            <w:r w:rsidR="00135D7F" w:rsidRPr="001E20A3">
              <w:rPr>
                <w:rFonts w:eastAsia="Calibri"/>
                <w:bCs/>
              </w:rPr>
              <w:t xml:space="preserve">Ordonanţa de urgenţă a Guvernului nr. </w:t>
            </w:r>
            <w:r w:rsidRPr="001E20A3">
              <w:rPr>
                <w:rFonts w:eastAsia="Calibri"/>
                <w:bCs/>
              </w:rPr>
              <w:t>40/2015</w:t>
            </w:r>
            <w:r w:rsidR="00D81ED9" w:rsidRPr="001E20A3">
              <w:rPr>
                <w:rFonts w:eastAsia="Calibri"/>
                <w:bCs/>
              </w:rPr>
              <w:t>,</w:t>
            </w:r>
            <w:r w:rsidR="00135D7F" w:rsidRPr="001E20A3">
              <w:rPr>
                <w:rFonts w:eastAsia="Calibri"/>
                <w:bCs/>
              </w:rPr>
              <w:t xml:space="preserve"> cu modificările şi completările ulterioare,</w:t>
            </w:r>
            <w:r w:rsidR="00D81ED9" w:rsidRPr="001E20A3">
              <w:rPr>
                <w:rFonts w:eastAsia="Calibri"/>
                <w:bCs/>
              </w:rPr>
              <w:t xml:space="preserve"> după cum urmează:</w:t>
            </w:r>
          </w:p>
          <w:p w14:paraId="1A072642" w14:textId="09D7B991" w:rsidR="00166CFB" w:rsidRPr="001E20A3" w:rsidRDefault="00166CFB" w:rsidP="00CB0A5E">
            <w:pPr>
              <w:tabs>
                <w:tab w:val="left" w:pos="90"/>
              </w:tabs>
              <w:spacing w:after="120"/>
              <w:jc w:val="both"/>
              <w:rPr>
                <w:rFonts w:eastAsia="MS Gothic"/>
                <w:bCs/>
                <w:kern w:val="28"/>
              </w:rPr>
            </w:pPr>
            <w:r w:rsidRPr="001E20A3">
              <w:rPr>
                <w:b/>
              </w:rPr>
              <w:t>1.</w:t>
            </w:r>
            <w:r w:rsidRPr="001E20A3">
              <w:t xml:space="preserve"> Pentru corelare cu prevederile H</w:t>
            </w:r>
            <w:r w:rsidR="00135D7F" w:rsidRPr="001E20A3">
              <w:t xml:space="preserve">otărârii </w:t>
            </w:r>
            <w:r w:rsidRPr="001E20A3">
              <w:t>G</w:t>
            </w:r>
            <w:r w:rsidR="00135D7F" w:rsidRPr="001E20A3">
              <w:t>uvernului</w:t>
            </w:r>
            <w:r w:rsidRPr="001E20A3">
              <w:t xml:space="preserve"> nr. 264/2003 privind stabilirea acţiunilor şi categoriilor de cheltuieli, criteriilor, procedurilor şi limitelor pentru efectuarea de plăţi în avans din fonduri publice, cu modificările și completările ulterioare, în vederea asigurării unui flux suplimentar de numerar la nivelul operatorilor economici, </w:t>
            </w:r>
            <w:r w:rsidRPr="001E20A3">
              <w:rPr>
                <w:rFonts w:eastAsia="MS Gothic"/>
                <w:bCs/>
                <w:kern w:val="28"/>
              </w:rPr>
              <w:t xml:space="preserve">prefinanţarea acordată pentru proiectele finanţate din Fondul european de dezvoltare regională, Fondul de coeziune, Fondul social european, Fondul de ajutor european destinat celor mai defavorizate persoane se acordă </w:t>
            </w:r>
            <w:r w:rsidRPr="001E20A3">
              <w:rPr>
                <w:rFonts w:eastAsia="MS Gothic"/>
                <w:b/>
                <w:bCs/>
                <w:i/>
                <w:kern w:val="28"/>
              </w:rPr>
              <w:t xml:space="preserve">în tranşe de maximum </w:t>
            </w:r>
            <w:r w:rsidR="00EA658A">
              <w:rPr>
                <w:rFonts w:eastAsia="MS Gothic"/>
                <w:b/>
                <w:bCs/>
                <w:i/>
                <w:kern w:val="28"/>
              </w:rPr>
              <w:t xml:space="preserve">10 %, </w:t>
            </w:r>
            <w:r w:rsidR="00EA658A" w:rsidRPr="005F021A">
              <w:rPr>
                <w:rFonts w:eastAsia="MS Gothic"/>
                <w:bCs/>
                <w:i/>
                <w:kern w:val="28"/>
              </w:rPr>
              <w:t xml:space="preserve">iar pentru </w:t>
            </w:r>
            <w:r w:rsidR="00EA658A" w:rsidRPr="00EA658A">
              <w:rPr>
                <w:rFonts w:eastAsia="MS Gothic"/>
                <w:bCs/>
                <w:i/>
                <w:kern w:val="28"/>
              </w:rPr>
              <w:t>beneficiarii</w:t>
            </w:r>
            <w:r w:rsidR="00EA658A" w:rsidRPr="005F021A">
              <w:rPr>
                <w:rFonts w:eastAsia="MS Gothic"/>
                <w:bCs/>
                <w:i/>
                <w:kern w:val="28"/>
              </w:rPr>
              <w:t xml:space="preserve"> operatori regionali de apă definiţi la art. 2 lit. h) din Legea nr. 51/2006 a serviciilor comunitare de utilități publice, republicată, cu modificările şi completările ulterioare,</w:t>
            </w:r>
            <w:r w:rsidR="00EA658A">
              <w:rPr>
                <w:rFonts w:eastAsia="MS Gothic"/>
                <w:b/>
                <w:bCs/>
                <w:i/>
                <w:kern w:val="28"/>
              </w:rPr>
              <w:t xml:space="preserve"> maxim </w:t>
            </w:r>
            <w:r w:rsidR="00A31761">
              <w:rPr>
                <w:rFonts w:eastAsia="MS Gothic"/>
                <w:b/>
                <w:bCs/>
                <w:i/>
                <w:kern w:val="28"/>
              </w:rPr>
              <w:t>30</w:t>
            </w:r>
            <w:r w:rsidRPr="001E20A3">
              <w:rPr>
                <w:rFonts w:eastAsia="MS Gothic"/>
                <w:b/>
                <w:bCs/>
                <w:i/>
                <w:kern w:val="28"/>
              </w:rPr>
              <w:t>% din valoarea eligibilă a proiectului</w:t>
            </w:r>
            <w:r w:rsidRPr="001E20A3">
              <w:rPr>
                <w:rFonts w:eastAsia="MS Gothic"/>
                <w:bCs/>
                <w:kern w:val="28"/>
              </w:rPr>
              <w:t>, fără depăşirea valorii totale eligibile a contractului de finanţare</w:t>
            </w:r>
            <w:r w:rsidR="009D7C51">
              <w:rPr>
                <w:rFonts w:eastAsia="MS Gothic"/>
                <w:bCs/>
                <w:kern w:val="28"/>
              </w:rPr>
              <w:t>, iar pentru restul beneficiarilor acordarea unei prefinan</w:t>
            </w:r>
            <w:r w:rsidR="00CB247A">
              <w:rPr>
                <w:rFonts w:eastAsia="MS Gothic"/>
                <w:bCs/>
                <w:kern w:val="28"/>
              </w:rPr>
              <w:t>ță</w:t>
            </w:r>
            <w:r w:rsidR="009D7C51">
              <w:rPr>
                <w:rFonts w:eastAsia="MS Gothic"/>
                <w:bCs/>
                <w:kern w:val="28"/>
              </w:rPr>
              <w:t>ri de maxim 30% este condi</w:t>
            </w:r>
            <w:r w:rsidR="00CB247A">
              <w:rPr>
                <w:rFonts w:eastAsia="MS Gothic"/>
                <w:bCs/>
                <w:kern w:val="28"/>
              </w:rPr>
              <w:t>ț</w:t>
            </w:r>
            <w:r w:rsidR="009D7C51">
              <w:rPr>
                <w:rFonts w:eastAsia="MS Gothic"/>
                <w:bCs/>
                <w:kern w:val="28"/>
              </w:rPr>
              <w:t>ionat</w:t>
            </w:r>
            <w:r w:rsidR="00CB247A">
              <w:rPr>
                <w:rFonts w:eastAsia="MS Gothic"/>
                <w:bCs/>
                <w:kern w:val="28"/>
              </w:rPr>
              <w:t>ă</w:t>
            </w:r>
            <w:r w:rsidR="009D7C51">
              <w:rPr>
                <w:rFonts w:eastAsia="MS Gothic"/>
                <w:bCs/>
                <w:kern w:val="28"/>
              </w:rPr>
              <w:t xml:space="preserve"> de existen</w:t>
            </w:r>
            <w:r w:rsidR="00CB247A">
              <w:rPr>
                <w:rFonts w:eastAsia="MS Gothic"/>
                <w:bCs/>
                <w:kern w:val="28"/>
              </w:rPr>
              <w:t>ț</w:t>
            </w:r>
            <w:r w:rsidR="009D7C51">
              <w:rPr>
                <w:rFonts w:eastAsia="MS Gothic"/>
                <w:bCs/>
                <w:kern w:val="28"/>
              </w:rPr>
              <w:t xml:space="preserve">a unor contracte de </w:t>
            </w:r>
            <w:r w:rsidR="005921AC">
              <w:rPr>
                <w:rFonts w:eastAsia="MS Gothic"/>
                <w:bCs/>
                <w:kern w:val="28"/>
              </w:rPr>
              <w:t xml:space="preserve">achiziție de produse, echipamente și de </w:t>
            </w:r>
            <w:r w:rsidR="009D7C51">
              <w:rPr>
                <w:rFonts w:eastAsia="MS Gothic"/>
                <w:bCs/>
                <w:kern w:val="28"/>
              </w:rPr>
              <w:t>lucr</w:t>
            </w:r>
            <w:r w:rsidR="00CB247A">
              <w:rPr>
                <w:rFonts w:eastAsia="MS Gothic"/>
                <w:bCs/>
                <w:kern w:val="28"/>
              </w:rPr>
              <w:t>ă</w:t>
            </w:r>
            <w:r w:rsidR="009D7C51">
              <w:rPr>
                <w:rFonts w:eastAsia="MS Gothic"/>
                <w:bCs/>
                <w:kern w:val="28"/>
              </w:rPr>
              <w:t xml:space="preserve">ri aflate </w:t>
            </w:r>
            <w:r w:rsidR="00CB247A">
              <w:rPr>
                <w:rFonts w:eastAsia="MS Gothic"/>
                <w:bCs/>
                <w:kern w:val="28"/>
              </w:rPr>
              <w:t>î</w:t>
            </w:r>
            <w:r w:rsidR="009D7C51">
              <w:rPr>
                <w:rFonts w:eastAsia="MS Gothic"/>
                <w:bCs/>
                <w:kern w:val="28"/>
              </w:rPr>
              <w:t>n implementare</w:t>
            </w:r>
            <w:r w:rsidR="00EA658A">
              <w:rPr>
                <w:rFonts w:eastAsia="MS Gothic"/>
                <w:bCs/>
                <w:kern w:val="28"/>
              </w:rPr>
              <w:t>;</w:t>
            </w:r>
          </w:p>
          <w:p w14:paraId="1F537B8F" w14:textId="2C1A9D3C" w:rsidR="00CE519D" w:rsidRPr="001E20A3" w:rsidRDefault="00166CFB" w:rsidP="00CB0A5E">
            <w:pPr>
              <w:spacing w:after="120"/>
              <w:jc w:val="both"/>
              <w:rPr>
                <w:rFonts w:eastAsia="Calibri"/>
                <w:bCs/>
                <w:lang w:val="en-US"/>
              </w:rPr>
            </w:pPr>
            <w:r w:rsidRPr="001E20A3">
              <w:rPr>
                <w:rFonts w:eastAsia="Calibri"/>
                <w:b/>
                <w:bCs/>
              </w:rPr>
              <w:t xml:space="preserve">2. </w:t>
            </w:r>
            <w:r w:rsidRPr="001E20A3">
              <w:t>Având în vedere contextul actual</w:t>
            </w:r>
            <w:r w:rsidR="00EA658A">
              <w:t>,</w:t>
            </w:r>
            <w:r w:rsidRPr="001E20A3">
              <w:t xml:space="preserve"> este de anticipat că efectuarea cheltuielilor se va realiza cu întârziere ținând cont de sincopele ce au </w:t>
            </w:r>
            <w:r w:rsidR="00135D7F" w:rsidRPr="001E20A3">
              <w:t xml:space="preserve">intervenit </w:t>
            </w:r>
            <w:r w:rsidRPr="001E20A3">
              <w:t>deja în lanțurile de aprovizionare. În plus</w:t>
            </w:r>
            <w:r w:rsidR="00135D7F" w:rsidRPr="001E20A3">
              <w:t>,</w:t>
            </w:r>
            <w:r w:rsidRPr="001E20A3">
              <w:t xml:space="preserve"> lipsa resurselor umane este de așteptat să afecteze toate verigile mecanismului de plată către furnizori/prestatori/antreprenori. De exemplu, verificarea situațiilor de lucrări nu se va putea realiza în mod efectiv în teren în termen</w:t>
            </w:r>
            <w:r w:rsidR="00EA658A">
              <w:t xml:space="preserve">ele stabilite prin contracte / proceduri. </w:t>
            </w:r>
            <w:r w:rsidRPr="001E20A3">
              <w:t>În acest sens se impune și prelungirea termenului</w:t>
            </w:r>
            <w:r w:rsidR="00EA658A">
              <w:t>,</w:t>
            </w:r>
            <w:r w:rsidRPr="001E20A3">
              <w:t xml:space="preserve"> de justificare, respectiv b</w:t>
            </w:r>
            <w:r w:rsidRPr="001E20A3">
              <w:rPr>
                <w:rFonts w:eastAsia="MS Gothic"/>
                <w:bCs/>
                <w:kern w:val="28"/>
              </w:rPr>
              <w:t>eneficiarii/lider</w:t>
            </w:r>
            <w:r w:rsidR="00EA658A">
              <w:rPr>
                <w:rFonts w:eastAsia="MS Gothic"/>
                <w:bCs/>
                <w:kern w:val="28"/>
              </w:rPr>
              <w:t>ii</w:t>
            </w:r>
            <w:r w:rsidRPr="001E20A3">
              <w:rPr>
                <w:rFonts w:eastAsia="MS Gothic"/>
                <w:bCs/>
                <w:kern w:val="28"/>
              </w:rPr>
              <w:t xml:space="preserve"> de parteneriat au obligaţia depunerii unei/unor cereri de rambursare care să cuprindă cheltuielile efectuate din tranşa de prefinanţare acordată, </w:t>
            </w:r>
            <w:r w:rsidR="0064508C" w:rsidRPr="005F021A">
              <w:rPr>
                <w:rFonts w:eastAsia="MS Gothic"/>
                <w:bCs/>
                <w:i/>
                <w:kern w:val="28"/>
              </w:rPr>
              <w:t>în cuantum cumulat de minimum 5</w:t>
            </w:r>
            <w:r w:rsidRPr="005F021A">
              <w:rPr>
                <w:rFonts w:eastAsia="MS Gothic"/>
                <w:bCs/>
                <w:i/>
                <w:kern w:val="28"/>
              </w:rPr>
              <w:t>0% din valoarea acesteia</w:t>
            </w:r>
            <w:r w:rsidRPr="00EA658A">
              <w:rPr>
                <w:rFonts w:eastAsia="MS Gothic"/>
                <w:bCs/>
                <w:kern w:val="28"/>
              </w:rPr>
              <w:t>,</w:t>
            </w:r>
            <w:r w:rsidRPr="001E20A3">
              <w:rPr>
                <w:rFonts w:eastAsia="MS Gothic"/>
                <w:bCs/>
                <w:kern w:val="28"/>
              </w:rPr>
              <w:t xml:space="preserve"> </w:t>
            </w:r>
            <w:r w:rsidRPr="001E20A3">
              <w:rPr>
                <w:rFonts w:eastAsia="MS Gothic"/>
                <w:b/>
                <w:bCs/>
                <w:i/>
                <w:kern w:val="28"/>
              </w:rPr>
              <w:t>în termen de maximum 180 de zile calendaristice</w:t>
            </w:r>
            <w:r w:rsidRPr="001E20A3">
              <w:rPr>
                <w:rFonts w:eastAsia="MS Gothic"/>
                <w:bCs/>
                <w:kern w:val="28"/>
              </w:rPr>
              <w:t xml:space="preserve"> de la data la care autoritatea de management a virat tranşa de prefinanţare în contul beneficiarului, fără a depăşi durata contractului de </w:t>
            </w:r>
            <w:r w:rsidRPr="001E20A3">
              <w:rPr>
                <w:rFonts w:eastAsia="MS Gothic"/>
                <w:bCs/>
                <w:kern w:val="28"/>
              </w:rPr>
              <w:lastRenderedPageBreak/>
              <w:t>finanţare</w:t>
            </w:r>
            <w:r w:rsidR="00EA658A">
              <w:rPr>
                <w:rFonts w:eastAsia="MS Gothic"/>
                <w:bCs/>
                <w:kern w:val="28"/>
              </w:rPr>
              <w:t>;</w:t>
            </w:r>
            <w:r w:rsidR="009D7C51">
              <w:rPr>
                <w:rFonts w:eastAsia="MS Gothic"/>
                <w:bCs/>
                <w:kern w:val="28"/>
              </w:rPr>
              <w:t xml:space="preserve"> aceste prevederi se aplic</w:t>
            </w:r>
            <w:r w:rsidR="00CB247A">
              <w:rPr>
                <w:rFonts w:eastAsia="MS Gothic"/>
                <w:bCs/>
                <w:kern w:val="28"/>
              </w:rPr>
              <w:t>ă</w:t>
            </w:r>
            <w:r w:rsidR="009D7C51">
              <w:rPr>
                <w:rFonts w:eastAsia="MS Gothic"/>
                <w:bCs/>
                <w:kern w:val="28"/>
              </w:rPr>
              <w:t xml:space="preserve"> cererilor de prefinan</w:t>
            </w:r>
            <w:r w:rsidR="00CB247A">
              <w:rPr>
                <w:rFonts w:eastAsia="MS Gothic"/>
                <w:bCs/>
                <w:kern w:val="28"/>
              </w:rPr>
              <w:t>ț</w:t>
            </w:r>
            <w:r w:rsidR="009D7C51">
              <w:rPr>
                <w:rFonts w:eastAsia="MS Gothic"/>
                <w:bCs/>
                <w:kern w:val="28"/>
              </w:rPr>
              <w:t>are depuse dup</w:t>
            </w:r>
            <w:r w:rsidR="00CB247A">
              <w:rPr>
                <w:rFonts w:eastAsia="MS Gothic"/>
                <w:bCs/>
                <w:kern w:val="28"/>
              </w:rPr>
              <w:t>ă</w:t>
            </w:r>
            <w:r w:rsidR="009D7C51">
              <w:rPr>
                <w:rFonts w:eastAsia="MS Gothic"/>
                <w:bCs/>
                <w:kern w:val="28"/>
              </w:rPr>
              <w:t xml:space="preserve"> data intr</w:t>
            </w:r>
            <w:r w:rsidR="00CB247A">
              <w:rPr>
                <w:rFonts w:eastAsia="MS Gothic"/>
                <w:bCs/>
                <w:kern w:val="28"/>
              </w:rPr>
              <w:t>ă</w:t>
            </w:r>
            <w:r w:rsidR="009D7C51">
              <w:rPr>
                <w:rFonts w:eastAsia="MS Gothic"/>
                <w:bCs/>
                <w:kern w:val="28"/>
              </w:rPr>
              <w:t xml:space="preserve">rii </w:t>
            </w:r>
            <w:r w:rsidR="00CB247A">
              <w:rPr>
                <w:rFonts w:eastAsia="MS Gothic"/>
                <w:bCs/>
                <w:kern w:val="28"/>
              </w:rPr>
              <w:t>î</w:t>
            </w:r>
            <w:r w:rsidR="009D7C51">
              <w:rPr>
                <w:rFonts w:eastAsia="MS Gothic"/>
                <w:bCs/>
                <w:kern w:val="28"/>
              </w:rPr>
              <w:t>n vigoare a prezentei ordonan</w:t>
            </w:r>
            <w:r w:rsidR="00CB247A">
              <w:rPr>
                <w:rFonts w:eastAsia="MS Gothic"/>
                <w:bCs/>
                <w:kern w:val="28"/>
              </w:rPr>
              <w:t>ț</w:t>
            </w:r>
            <w:r w:rsidR="009D7C51">
              <w:rPr>
                <w:rFonts w:eastAsia="MS Gothic"/>
                <w:bCs/>
                <w:kern w:val="28"/>
              </w:rPr>
              <w:t>e de urgen</w:t>
            </w:r>
            <w:r w:rsidR="00CB247A">
              <w:rPr>
                <w:rFonts w:eastAsia="MS Gothic"/>
                <w:bCs/>
                <w:kern w:val="28"/>
              </w:rPr>
              <w:t>ță</w:t>
            </w:r>
            <w:r w:rsidR="009D7C51">
              <w:rPr>
                <w:rFonts w:eastAsia="MS Gothic"/>
                <w:bCs/>
                <w:kern w:val="28"/>
              </w:rPr>
              <w:t>;</w:t>
            </w:r>
          </w:p>
          <w:p w14:paraId="60B7DEA9" w14:textId="77777777" w:rsidR="009B71DC" w:rsidRPr="001E20A3" w:rsidRDefault="00166CFB" w:rsidP="00CB0A5E">
            <w:pPr>
              <w:tabs>
                <w:tab w:val="left" w:pos="90"/>
              </w:tabs>
              <w:spacing w:after="120"/>
              <w:jc w:val="both"/>
            </w:pPr>
            <w:r w:rsidRPr="001E20A3">
              <w:rPr>
                <w:b/>
              </w:rPr>
              <w:t xml:space="preserve">3. </w:t>
            </w:r>
            <w:r w:rsidR="00EA658A">
              <w:t>Extinderea termenului</w:t>
            </w:r>
            <w:r w:rsidRPr="001E20A3">
              <w:t xml:space="preserve"> în care </w:t>
            </w:r>
            <w:r w:rsidRPr="001E20A3">
              <w:rPr>
                <w:rFonts w:eastAsia="MS Gothic"/>
                <w:bCs/>
                <w:kern w:val="28"/>
              </w:rPr>
              <w:t xml:space="preserve"> </w:t>
            </w:r>
            <w:r w:rsidR="00A87CB4">
              <w:rPr>
                <w:rFonts w:eastAsia="MS Gothic"/>
                <w:bCs/>
                <w:kern w:val="28"/>
              </w:rPr>
              <w:t>b</w:t>
            </w:r>
            <w:r w:rsidRPr="001E20A3">
              <w:rPr>
                <w:rFonts w:eastAsia="MS Gothic"/>
                <w:bCs/>
                <w:kern w:val="28"/>
              </w:rPr>
              <w:t>eneficiarii/</w:t>
            </w:r>
            <w:r w:rsidR="00A87CB4">
              <w:rPr>
                <w:rFonts w:eastAsia="MS Gothic"/>
                <w:bCs/>
                <w:kern w:val="28"/>
              </w:rPr>
              <w:t>l</w:t>
            </w:r>
            <w:r w:rsidRPr="001E20A3">
              <w:rPr>
                <w:rFonts w:eastAsia="MS Gothic"/>
                <w:bCs/>
                <w:kern w:val="28"/>
              </w:rPr>
              <w:t>iderii de parteneriat/</w:t>
            </w:r>
            <w:r w:rsidR="00A87CB4">
              <w:rPr>
                <w:rFonts w:eastAsia="MS Gothic"/>
                <w:bCs/>
                <w:kern w:val="28"/>
              </w:rPr>
              <w:t>p</w:t>
            </w:r>
            <w:r w:rsidRPr="001E20A3">
              <w:rPr>
                <w:rFonts w:eastAsia="MS Gothic"/>
                <w:bCs/>
                <w:kern w:val="28"/>
              </w:rPr>
              <w:t>artenerii</w:t>
            </w:r>
            <w:r w:rsidRPr="001E20A3">
              <w:t xml:space="preserve"> au obligația de a face dovada</w:t>
            </w:r>
            <w:r w:rsidR="00EA658A">
              <w:t xml:space="preserve"> plății </w:t>
            </w:r>
            <w:r w:rsidRPr="001E20A3">
              <w:t xml:space="preserve"> contribuției proprii</w:t>
            </w:r>
            <w:r w:rsidR="00EA658A">
              <w:t xml:space="preserve">, respectiv </w:t>
            </w:r>
            <w:r w:rsidR="00EA658A" w:rsidRPr="00206623">
              <w:rPr>
                <w:rFonts w:eastAsia="MS Gothic"/>
                <w:bCs/>
                <w:kern w:val="28"/>
              </w:rPr>
              <w:t>cel mai târziu până la data depunerii cererii de rambursare aferentă cererii de plată</w:t>
            </w:r>
            <w:r w:rsidR="00EA658A">
              <w:rPr>
                <w:rFonts w:eastAsia="MS Gothic"/>
                <w:bCs/>
                <w:kern w:val="28"/>
              </w:rPr>
              <w:t>, acțiune care</w:t>
            </w:r>
            <w:r w:rsidR="00EA658A" w:rsidRPr="001E20A3" w:rsidDel="00EA658A">
              <w:t xml:space="preserve"> </w:t>
            </w:r>
            <w:r w:rsidRPr="001E20A3">
              <w:t>vizează asigurarea, pentru o perioadă scurtă, a unui flux suplimentar de numerar la nivelul beneficiarilor</w:t>
            </w:r>
            <w:r w:rsidR="00EA658A">
              <w:t>;</w:t>
            </w:r>
            <w:r w:rsidRPr="001E20A3">
              <w:t xml:space="preserve">   </w:t>
            </w:r>
          </w:p>
          <w:p w14:paraId="08E5DEB4" w14:textId="77777777" w:rsidR="00166CFB" w:rsidRPr="001E20A3" w:rsidRDefault="00166CFB" w:rsidP="005F021A">
            <w:pPr>
              <w:tabs>
                <w:tab w:val="left" w:pos="90"/>
              </w:tabs>
              <w:spacing w:after="120"/>
              <w:jc w:val="both"/>
            </w:pPr>
            <w:r w:rsidRPr="001E20A3">
              <w:t xml:space="preserve">4. </w:t>
            </w:r>
            <w:r w:rsidR="008F2DE2">
              <w:t>Reducerea capacității de lucru a</w:t>
            </w:r>
            <w:r w:rsidR="008F2DE2" w:rsidRPr="001E20A3">
              <w:t xml:space="preserve"> </w:t>
            </w:r>
            <w:r w:rsidRPr="001E20A3">
              <w:t>resurselor umane necesare la nivelul UIP-urilor</w:t>
            </w:r>
            <w:r w:rsidR="00EA658A">
              <w:t>, constând în imposibilitatea angajaților de a se deplasa la locul de muncă sau la locul de implementare a proiectelor, dificultatea înregistrării în sistemul informatic a documentelor/informațiilor aferente cererilor de rambursare în cazul în care angajații lucrează în telemuncă/muncă la domiciliu, riscul impunerii stării de izolare/carantină pentru unii dintre angajații beneficiarilor/contractorilor,</w:t>
            </w:r>
            <w:r w:rsidR="00A87CB4">
              <w:t xml:space="preserve"> concedii medicale, zile libere pentru supravegherea copiilor,</w:t>
            </w:r>
            <w:r w:rsidR="00EA658A">
              <w:t xml:space="preserve"> </w:t>
            </w:r>
            <w:r w:rsidR="008F2DE2">
              <w:t>măsuri de distanțare socială și restricții de circulație impuse, este</w:t>
            </w:r>
            <w:r w:rsidRPr="001E20A3">
              <w:t xml:space="preserve"> neces</w:t>
            </w:r>
            <w:r w:rsidR="008F2DE2">
              <w:t>ară și urgentă</w:t>
            </w:r>
            <w:r w:rsidRPr="001E20A3">
              <w:t xml:space="preserve"> prelungir</w:t>
            </w:r>
            <w:r w:rsidR="008F2DE2">
              <w:t>ea</w:t>
            </w:r>
            <w:r w:rsidRPr="001E20A3">
              <w:t xml:space="preserve"> termenului </w:t>
            </w:r>
            <w:r w:rsidR="008F2DE2">
              <w:t xml:space="preserve">maxim </w:t>
            </w:r>
            <w:r w:rsidRPr="001E20A3">
              <w:t xml:space="preserve">ȋn care </w:t>
            </w:r>
            <w:r w:rsidRPr="001E20A3">
              <w:rPr>
                <w:rFonts w:eastAsia="MS Gothic"/>
                <w:bCs/>
                <w:kern w:val="28"/>
              </w:rPr>
              <w:t>beneficiarii au obligaţia de a depune cererea de rambursare aferentă cererii de plată la organismul intermediar/autoritatea de management.</w:t>
            </w:r>
            <w:r w:rsidR="008F2DE2">
              <w:rPr>
                <w:rFonts w:eastAsia="MS Gothic"/>
                <w:bCs/>
                <w:kern w:val="28"/>
              </w:rPr>
              <w:t xml:space="preserve"> </w:t>
            </w:r>
            <w:r w:rsidRPr="001E20A3">
              <w:t>Lipsa resurselor umane necesare la nivelul UIP-urilor determină și necesitatea prelungirii termenului ȋn care b</w:t>
            </w:r>
            <w:r w:rsidRPr="001E20A3">
              <w:rPr>
                <w:rFonts w:eastAsia="MS Gothic"/>
                <w:bCs/>
                <w:kern w:val="28"/>
              </w:rPr>
              <w:t>eneficiarii/</w:t>
            </w:r>
            <w:r w:rsidR="00A87CB4">
              <w:rPr>
                <w:rFonts w:eastAsia="MS Gothic"/>
                <w:bCs/>
                <w:kern w:val="28"/>
              </w:rPr>
              <w:t>l</w:t>
            </w:r>
            <w:r w:rsidRPr="001E20A3">
              <w:rPr>
                <w:rFonts w:eastAsia="MS Gothic"/>
                <w:bCs/>
                <w:kern w:val="28"/>
              </w:rPr>
              <w:t>iderii de parteneriat au obligaţia de a depune la autorităţile de management/organismele intermediare cereri de rambursare</w:t>
            </w:r>
            <w:r w:rsidR="0064508C" w:rsidRPr="001E20A3">
              <w:rPr>
                <w:rFonts w:eastAsia="MS Gothic"/>
                <w:bCs/>
                <w:kern w:val="28"/>
              </w:rPr>
              <w:t xml:space="preserve"> pentru </w:t>
            </w:r>
            <w:r w:rsidR="0064508C" w:rsidRPr="001E20A3">
              <w:t>cheltuielile efectuate</w:t>
            </w:r>
            <w:r w:rsidR="00A87CB4">
              <w:t>;</w:t>
            </w:r>
          </w:p>
          <w:p w14:paraId="759D42AE" w14:textId="77777777" w:rsidR="0064508C" w:rsidRPr="001E20A3" w:rsidRDefault="008F2DE2" w:rsidP="00CB0A5E">
            <w:pPr>
              <w:spacing w:after="120"/>
              <w:jc w:val="both"/>
            </w:pPr>
            <w:r>
              <w:t>5</w:t>
            </w:r>
            <w:r w:rsidR="0064508C" w:rsidRPr="001E20A3">
              <w:t xml:space="preserve">. De asemenea, organismul intermediar/autoritatea de management efectuează verificarea cererii de plată în termen prelungit de maximum </w:t>
            </w:r>
            <w:r w:rsidR="0064508C" w:rsidRPr="001E20A3">
              <w:rPr>
                <w:b/>
                <w:i/>
              </w:rPr>
              <w:t>30 de zile lucrătoare</w:t>
            </w:r>
            <w:r w:rsidR="0064508C" w:rsidRPr="001E20A3">
              <w:t xml:space="preserve"> de la data depunerii acesteia de către beneficiar/liderul de parteneriat</w:t>
            </w:r>
            <w:r w:rsidR="00C44368">
              <w:t>, conform justificărilor legate de resursele umane menționate la pct. 4 de mai sus</w:t>
            </w:r>
            <w:r w:rsidR="00A87CB4">
              <w:t>;</w:t>
            </w:r>
          </w:p>
          <w:p w14:paraId="2D13FC42" w14:textId="77777777" w:rsidR="00CB0A5E" w:rsidRPr="001E20A3" w:rsidRDefault="008F2DE2" w:rsidP="00CB0A5E">
            <w:pPr>
              <w:widowControl w:val="0"/>
              <w:spacing w:after="120"/>
              <w:jc w:val="both"/>
              <w:rPr>
                <w:rFonts w:eastAsia="MS Gothic"/>
                <w:bCs/>
                <w:kern w:val="28"/>
              </w:rPr>
            </w:pPr>
            <w:r>
              <w:rPr>
                <w:rFonts w:eastAsia="MS Gothic"/>
                <w:bCs/>
                <w:kern w:val="28"/>
              </w:rPr>
              <w:t>6</w:t>
            </w:r>
            <w:r w:rsidR="00CB0A5E" w:rsidRPr="001E20A3">
              <w:rPr>
                <w:rFonts w:eastAsia="MS Gothic"/>
                <w:bCs/>
                <w:kern w:val="28"/>
              </w:rPr>
              <w:t xml:space="preserve">. </w:t>
            </w:r>
            <w:r w:rsidR="00C44368">
              <w:rPr>
                <w:rFonts w:eastAsia="MS Gothic"/>
                <w:bCs/>
                <w:kern w:val="28"/>
              </w:rPr>
              <w:t>A</w:t>
            </w:r>
            <w:r w:rsidR="00CB0A5E" w:rsidRPr="001E20A3">
              <w:rPr>
                <w:rFonts w:eastAsia="MS Gothic"/>
                <w:bCs/>
                <w:kern w:val="28"/>
              </w:rPr>
              <w:t>utoritatea de management autorizează cheltuielile eligibile cuprinse în cererea de rambursare</w:t>
            </w:r>
            <w:r>
              <w:rPr>
                <w:rFonts w:eastAsia="MS Gothic"/>
                <w:bCs/>
                <w:kern w:val="28"/>
              </w:rPr>
              <w:t xml:space="preserve">, </w:t>
            </w:r>
            <w:r w:rsidR="00D35543">
              <w:rPr>
                <w:rFonts w:eastAsia="MS Gothic"/>
                <w:bCs/>
                <w:kern w:val="28"/>
              </w:rPr>
              <w:t>ȋn</w:t>
            </w:r>
            <w:r w:rsidR="00D35543" w:rsidRPr="001E20A3">
              <w:rPr>
                <w:rFonts w:eastAsia="MS Gothic"/>
                <w:bCs/>
                <w:kern w:val="28"/>
              </w:rPr>
              <w:t xml:space="preserve"> </w:t>
            </w:r>
            <w:r w:rsidR="00CB0A5E" w:rsidRPr="001E20A3">
              <w:rPr>
                <w:rFonts w:eastAsia="MS Gothic"/>
                <w:b/>
                <w:bCs/>
                <w:i/>
                <w:kern w:val="28"/>
              </w:rPr>
              <w:t>maximum 30 de zile lucrătoare</w:t>
            </w:r>
            <w:r w:rsidR="00CB0A5E" w:rsidRPr="001E20A3">
              <w:rPr>
                <w:rFonts w:eastAsia="MS Gothic"/>
                <w:bCs/>
                <w:kern w:val="28"/>
              </w:rPr>
              <w:t xml:space="preserve">  de la data depunerii de către beneficiar/liderul de parteneriat la autoritatea de management sau la organismul intermediar, după caz, a cererii de rambursare întocmite conform contractului/ deciziei/ordinului de finanţare</w:t>
            </w:r>
            <w:r>
              <w:rPr>
                <w:rFonts w:eastAsia="MS Gothic"/>
                <w:bCs/>
                <w:kern w:val="28"/>
              </w:rPr>
              <w:t xml:space="preserve">, </w:t>
            </w:r>
            <w:r w:rsidR="00C44368">
              <w:t>conform justificărilor legate de resursele umane menționate la pct. 4 de mai sus</w:t>
            </w:r>
            <w:r w:rsidR="00CB0A5E" w:rsidRPr="001E20A3">
              <w:rPr>
                <w:rFonts w:eastAsia="MS Gothic"/>
                <w:bCs/>
                <w:kern w:val="28"/>
              </w:rPr>
              <w:t>.</w:t>
            </w:r>
          </w:p>
          <w:p w14:paraId="72C12AF1" w14:textId="77777777" w:rsidR="008F6F40" w:rsidRPr="001E20A3" w:rsidRDefault="008F6F40" w:rsidP="00CB0A5E">
            <w:pPr>
              <w:spacing w:after="120"/>
              <w:jc w:val="both"/>
            </w:pPr>
            <w:r w:rsidRPr="001E20A3">
              <w:t xml:space="preserve">În circumstanțele excepționale </w:t>
            </w:r>
            <w:r w:rsidR="00135D7F" w:rsidRPr="001E20A3">
              <w:t>generate de situaţia epidemiologică</w:t>
            </w:r>
            <w:r w:rsidRPr="001E20A3">
              <w:t xml:space="preserve">, întreprinderile de toate tipurile se pot confrunta cu o lipsă severă de lichiditate. De asemenea, întreprinderile solvabile sau mai puțin solvabile se pot confrunta cu o lipsă bruscă sau chiar indisponibilitate de lichiditate. Acest lucru este valabil în special pentru operatorii regionali de apă, </w:t>
            </w:r>
            <w:r w:rsidR="00050120" w:rsidRPr="001E20A3">
              <w:t xml:space="preserve">în contextul în care utilizatorii serviciului plătesc cu întârziere sau amână plata facturilor aferente serviciului, </w:t>
            </w:r>
            <w:r w:rsidRPr="001E20A3">
              <w:t>ceea ce</w:t>
            </w:r>
            <w:r w:rsidR="001204BD">
              <w:t>,</w:t>
            </w:r>
            <w:r w:rsidRPr="001E20A3">
              <w:t xml:space="preserve"> pe termen scurt și mediu</w:t>
            </w:r>
            <w:r w:rsidR="001204BD">
              <w:t>,</w:t>
            </w:r>
            <w:r w:rsidRPr="001E20A3">
              <w:t xml:space="preserve"> poate afecta grav situația economică</w:t>
            </w:r>
            <w:r w:rsidR="001204BD">
              <w:t xml:space="preserve"> a</w:t>
            </w:r>
            <w:r w:rsidRPr="001E20A3">
              <w:t xml:space="preserve"> acestora, cu posibile consecințe chiar </w:t>
            </w:r>
            <w:r w:rsidR="001204BD">
              <w:t>ș</w:t>
            </w:r>
            <w:r w:rsidRPr="001E20A3">
              <w:t>i pe termen lung, periclitând implementarea proiectelor.</w:t>
            </w:r>
          </w:p>
          <w:p w14:paraId="77995DE0" w14:textId="77777777" w:rsidR="002E1BEB" w:rsidRPr="001E20A3" w:rsidRDefault="008F2DE2" w:rsidP="00135D7F">
            <w:pPr>
              <w:spacing w:after="120"/>
              <w:jc w:val="both"/>
            </w:pPr>
            <w:r>
              <w:t>7</w:t>
            </w:r>
            <w:r w:rsidR="00166CFB" w:rsidRPr="001E20A3">
              <w:t xml:space="preserve">. </w:t>
            </w:r>
            <w:r w:rsidR="00135D7F" w:rsidRPr="000539C8">
              <w:t xml:space="preserve">Se impune </w:t>
            </w:r>
            <w:r w:rsidR="00166CFB" w:rsidRPr="000539C8">
              <w:t xml:space="preserve">clarificarea modalității de raportare a mecanismului de restituire </w:t>
            </w:r>
            <w:r w:rsidR="002E1BEB" w:rsidRPr="000539C8">
              <w:t xml:space="preserve">a sumelor rezultând din rezilierea contractelor de finanțare, necesar a fi </w:t>
            </w:r>
            <w:r w:rsidR="00166CFB" w:rsidRPr="000539C8">
              <w:t>prevăzut în H</w:t>
            </w:r>
            <w:r w:rsidR="00135D7F" w:rsidRPr="000539C8">
              <w:t xml:space="preserve">otărârea </w:t>
            </w:r>
            <w:r w:rsidR="00166CFB" w:rsidRPr="000539C8">
              <w:t>G</w:t>
            </w:r>
            <w:r w:rsidR="00135D7F" w:rsidRPr="000539C8">
              <w:t>uvernului</w:t>
            </w:r>
            <w:r w:rsidR="00166CFB" w:rsidRPr="000539C8">
              <w:t xml:space="preserve"> nr. 93/2016</w:t>
            </w:r>
            <w:r w:rsidR="002E1BEB" w:rsidRPr="000539C8">
              <w:t>, respectiv</w:t>
            </w:r>
            <w:r w:rsidR="004C3CA3">
              <w:t xml:space="preserve"> </w:t>
            </w:r>
            <w:r w:rsidR="00166CFB" w:rsidRPr="000539C8">
              <w:t xml:space="preserve">mecanismul detaliat la art. 16 din </w:t>
            </w:r>
            <w:r w:rsidR="00200637" w:rsidRPr="000539C8">
              <w:t>Ordonanţa de urgenţă a Guvernului nr.</w:t>
            </w:r>
            <w:r w:rsidR="00166CFB" w:rsidRPr="000539C8">
              <w:t xml:space="preserve">40/2015. Beneficiarilor prevăzuți la art. 6 alin. (5) din </w:t>
            </w:r>
            <w:r w:rsidR="00135D7F" w:rsidRPr="000539C8">
              <w:t xml:space="preserve">Ordonanţa de urgenţă a </w:t>
            </w:r>
            <w:r w:rsidR="00135D7F" w:rsidRPr="000539C8">
              <w:lastRenderedPageBreak/>
              <w:t>Guvernului nr.</w:t>
            </w:r>
            <w:r w:rsidR="004C3CA3">
              <w:t xml:space="preserve"> </w:t>
            </w:r>
            <w:r w:rsidR="00166CFB" w:rsidRPr="000539C8">
              <w:t>40/2015 ar trebui să li se aplice prevederile art.16</w:t>
            </w:r>
            <w:r w:rsidR="00135D7F" w:rsidRPr="000539C8">
              <w:t>.</w:t>
            </w:r>
            <w:r w:rsidR="002E1BEB" w:rsidRPr="000539C8">
              <w:t xml:space="preserve"> Astfel,</w:t>
            </w:r>
            <w:r w:rsidR="004C3CA3">
              <w:t xml:space="preserve"> </w:t>
            </w:r>
            <w:r w:rsidR="002E1BEB" w:rsidRPr="000539C8">
              <w:t>preved</w:t>
            </w:r>
            <w:r w:rsidR="004C3CA3">
              <w:t>e</w:t>
            </w:r>
            <w:r w:rsidR="002E1BEB" w:rsidRPr="000539C8">
              <w:t>rea este obligatoriu a fi introdusă pentru că în situația emiterii unei decizii de reziliere a contractului de finanțare cu beneficiar prevăzut la art. 6</w:t>
            </w:r>
            <w:r w:rsidR="004C3CA3">
              <w:t xml:space="preserve"> </w:t>
            </w:r>
            <w:r w:rsidR="002E1BEB" w:rsidRPr="000539C8">
              <w:t>alin (5), sumele aferente să poată fi recuperate în cel mai scurt timp, utilizând mecanismul menționat la art. 16 din OUG nr. 40/2015 și reutilizate în cadrul programului pentru</w:t>
            </w:r>
            <w:r w:rsidR="002E1BEB">
              <w:t xml:space="preserve"> finanțarea altor proiecte eligibile. În lipsa operării acestei modificări, recuperarea sumelor reprezentând rezilieri pentru beneficiarii de la art. 6 alin (5) nu ar putea fi realizată fără întârzieri, </w:t>
            </w:r>
            <w:r w:rsidR="00364AF0">
              <w:t>prin aplicarea</w:t>
            </w:r>
            <w:r w:rsidR="002E1BEB">
              <w:t xml:space="preserve"> mecanismul actual prevăzut în Ordonanță</w:t>
            </w:r>
            <w:r w:rsidR="00364AF0">
              <w:t>, ceea ce ar determina blocarea temporară a unor sume care nu ar fi folosite de îndată pentru finanțarea în continuare a programului, având în</w:t>
            </w:r>
            <w:r w:rsidR="000F4D08">
              <w:t xml:space="preserve"> vedere</w:t>
            </w:r>
            <w:r w:rsidR="00364AF0">
              <w:t xml:space="preserve"> contextul socio-economic actual.</w:t>
            </w:r>
          </w:p>
          <w:p w14:paraId="51B3642B" w14:textId="77777777" w:rsidR="00135D7F" w:rsidRPr="001E20A3" w:rsidRDefault="00135D7F" w:rsidP="00135D7F">
            <w:pPr>
              <w:spacing w:after="120"/>
              <w:jc w:val="both"/>
            </w:pPr>
            <w:r w:rsidRPr="001E20A3">
              <w:t>Caracterul de urgență al prezentului act normativ este impus de următoarele considerente:</w:t>
            </w:r>
          </w:p>
          <w:p w14:paraId="6A16A0F5" w14:textId="77777777" w:rsidR="00135D7F" w:rsidRPr="001E20A3" w:rsidRDefault="00135D7F" w:rsidP="00135D7F">
            <w:pPr>
              <w:spacing w:after="120"/>
              <w:jc w:val="both"/>
            </w:pPr>
            <w:r w:rsidRPr="001E20A3">
              <w:t>Un risc major identificat în domeniul gestiunii fondurilor europene este apariția blocajelor în implementarea proiectelor aprobate la finanțare, ceea ce va avea impact negativ direct asupra țintei de plă</w:t>
            </w:r>
            <w:r w:rsidR="000F4D08">
              <w:t>ț</w:t>
            </w:r>
            <w:r w:rsidRPr="001E20A3">
              <w:t>i asumată de autoritățile române pentru anul 2020.</w:t>
            </w:r>
          </w:p>
          <w:p w14:paraId="0129C0F5" w14:textId="77777777" w:rsidR="00135D7F" w:rsidRPr="001E20A3" w:rsidRDefault="00135D7F" w:rsidP="00135D7F">
            <w:pPr>
              <w:spacing w:after="120"/>
              <w:jc w:val="both"/>
            </w:pPr>
            <w:r w:rsidRPr="001E20A3">
              <w:t>Astfel, având în vedere măsurile de carantină/izolare la domiciliu/suspendare a activității instituțiilor de învățământ/angrenare a instituțiilor publice în procent majoritar în activități legate de situația generată de epidemia COVID-19/reducere a activității operatorilor economici, vor apărea inevitabil întârzieri în implementarea acestor proiecte, cu perturbarea fluxului financiar (depunerea cererilor de rambursare de către beneficiari), sau chiar reziliere a proiectelor.</w:t>
            </w:r>
          </w:p>
          <w:p w14:paraId="39DC2456" w14:textId="77777777" w:rsidR="00135D7F" w:rsidRPr="001E20A3" w:rsidRDefault="00135D7F" w:rsidP="00135D7F">
            <w:pPr>
              <w:spacing w:after="120"/>
              <w:jc w:val="both"/>
            </w:pPr>
            <w:r w:rsidRPr="001E20A3">
              <w:t>Un risc clar ce derivă din restricțiile privind circulația persoanelor este acela al  indisponibilității / capacității reduse al resurse</w:t>
            </w:r>
            <w:r w:rsidR="000F4D08">
              <w:t>lor</w:t>
            </w:r>
            <w:r w:rsidRPr="001E20A3">
              <w:t xml:space="preserve"> umane, atât în ceea ce privește activitatea sistemului de management și control al fondurilor europene (autorități de management, organisme intermediare etc.) cât și a beneficiarilor publici și privați ai proiectelor, în asigurarea consultanței necesare, inclusiv în contextul pregătirii documentelor pentru viitoarea perioadă de programare.</w:t>
            </w:r>
          </w:p>
          <w:p w14:paraId="4D6ACCF6" w14:textId="77777777" w:rsidR="00135D7F" w:rsidRPr="001E20A3" w:rsidRDefault="00135D7F" w:rsidP="00135D7F">
            <w:pPr>
              <w:spacing w:after="120"/>
              <w:jc w:val="both"/>
            </w:pPr>
            <w:r w:rsidRPr="001E20A3">
              <w:t>Suplimentar, în situația în care calendarul de implementare a proiectelor va fi afectat pe scară largă de efectele epidemiei</w:t>
            </w:r>
            <w:r w:rsidR="000F4D08">
              <w:t xml:space="preserve"> </w:t>
            </w:r>
            <w:r w:rsidRPr="001E20A3">
              <w:t>COVID-19, va crește și riscul de dezangajare a fondurilor pentru programele operaționale, în cazul în care nu se reglementează la nivel european flexibilizarea acestor reguli.</w:t>
            </w:r>
          </w:p>
          <w:p w14:paraId="1545D6E1" w14:textId="77777777" w:rsidR="00135D7F" w:rsidRPr="001E20A3" w:rsidRDefault="00135D7F" w:rsidP="00135D7F">
            <w:pPr>
              <w:spacing w:after="120"/>
              <w:jc w:val="both"/>
            </w:pPr>
            <w:r w:rsidRPr="001E20A3">
              <w:t>Până în prezent, în cadrul exercițiului financiar 2014-2020, nu au fost dezangajate sume aferente programelor operaționale, întrucât valoarea aplicațiilor de plată transmise C</w:t>
            </w:r>
            <w:r w:rsidR="00A87CB4">
              <w:t>omisiei Europene</w:t>
            </w:r>
            <w:r w:rsidRPr="001E20A3">
              <w:t xml:space="preserve"> a acoperit </w:t>
            </w:r>
            <w:r w:rsidR="000F4D08">
              <w:t>sumele alocate</w:t>
            </w:r>
            <w:r w:rsidRPr="001E20A3">
              <w:t xml:space="preserve">. </w:t>
            </w:r>
          </w:p>
          <w:p w14:paraId="33514397" w14:textId="77777777" w:rsidR="00135D7F" w:rsidRPr="001E20A3" w:rsidRDefault="00135D7F" w:rsidP="00135D7F">
            <w:pPr>
              <w:spacing w:after="120"/>
              <w:jc w:val="both"/>
            </w:pPr>
            <w:r w:rsidRPr="001E20A3">
              <w:t xml:space="preserve">Cu toate acestea, la nivelul Grupului pentru măsuri structurale </w:t>
            </w:r>
            <w:r w:rsidR="00A87CB4">
              <w:t xml:space="preserve">de la nivelul </w:t>
            </w:r>
            <w:r w:rsidR="00A87CB4" w:rsidRPr="00A87CB4">
              <w:t>Comisiei Europene</w:t>
            </w:r>
            <w:r w:rsidRPr="001E20A3">
              <w:t>, România va susține, prin pachetul de modificări legislative asupra regulamentului</w:t>
            </w:r>
            <w:r w:rsidR="00A87CB4">
              <w:t xml:space="preserve"> general</w:t>
            </w:r>
            <w:r w:rsidRPr="001E20A3">
              <w:t xml:space="preserve"> aplicabil actualei perioade de programare, exceptarea de la regula dezangajării de fonduri pentru anul 2020, cu posibilitatea suplimentării corespunzătoare a plafoanelor anilor următori.</w:t>
            </w:r>
          </w:p>
          <w:p w14:paraId="4F9AC721" w14:textId="77777777" w:rsidR="00135D7F" w:rsidRPr="001E20A3" w:rsidRDefault="00135D7F" w:rsidP="00135D7F">
            <w:pPr>
              <w:spacing w:after="120"/>
              <w:jc w:val="both"/>
            </w:pPr>
            <w:r w:rsidRPr="001E20A3">
              <w:t xml:space="preserve">Pe lângă măsurile pentru evitarea pierderilor cauzate de dezangajări la nivelul programelor, cadrul legal european urmează a fi modificat pentru a </w:t>
            </w:r>
            <w:r w:rsidRPr="001E20A3">
              <w:lastRenderedPageBreak/>
              <w:t xml:space="preserve">oferi </w:t>
            </w:r>
            <w:r w:rsidR="00FA395B">
              <w:t>sprijin</w:t>
            </w:r>
            <w:r w:rsidR="00FA395B" w:rsidRPr="001E20A3">
              <w:t xml:space="preserve"> </w:t>
            </w:r>
            <w:r w:rsidRPr="001E20A3">
              <w:t>suplimentar statelor membre în gestiunea fondurilor europene, în vederea contracarării efectelor negative generate de epidemia COVID-19.</w:t>
            </w:r>
          </w:p>
          <w:p w14:paraId="7FD61D91" w14:textId="77777777" w:rsidR="00135D7F" w:rsidRPr="001E20A3" w:rsidRDefault="00135D7F" w:rsidP="00135D7F">
            <w:pPr>
              <w:spacing w:after="120"/>
              <w:jc w:val="both"/>
            </w:pPr>
            <w:r w:rsidRPr="001E20A3">
              <w:t>Un alt risc identificat în implementarea programelor operaționale poate fi insuficiența sumelor necesare asigurării cofinanțării proiectelor de la bugetul de stat.</w:t>
            </w:r>
          </w:p>
          <w:p w14:paraId="5439490C" w14:textId="77777777" w:rsidR="00135D7F" w:rsidRPr="001E20A3" w:rsidRDefault="00135D7F" w:rsidP="00135D7F">
            <w:pPr>
              <w:spacing w:after="120"/>
              <w:jc w:val="both"/>
            </w:pPr>
            <w:r w:rsidRPr="001E20A3">
              <w:t>Mai mult, având în vedere faptul că la nivelul programelor operaționale toate operațiunile sunt raportate la alocarea în euro, fluctuația cursului de schimb al leului în raport cu euro în perioada următoare poate genera o presiune bugetară suplimentară asupra bugetului de stat față de cea prevăzută inițial.</w:t>
            </w:r>
          </w:p>
          <w:p w14:paraId="34B4377D" w14:textId="77777777" w:rsidR="00135D7F" w:rsidRPr="001E20A3" w:rsidRDefault="00135D7F" w:rsidP="00135D7F">
            <w:pPr>
              <w:spacing w:after="120"/>
              <w:jc w:val="both"/>
            </w:pPr>
            <w:r w:rsidRPr="001E20A3">
              <w:t xml:space="preserve">Un caz particular este riscul beneficiarilor privați, existent și înainte de epidemia COVID 19, dar amplificat de aceasta, de a asigura mijloacele financiare pentru susținerea contribuției private la derularea proiectelor si, pe cale de consecință imposibilitatea/întârzierea depunerii de cereri de rambursare sau chiar să conducă la solicitarea rezilierii contractelor. </w:t>
            </w:r>
          </w:p>
          <w:p w14:paraId="00C17FFE" w14:textId="77777777" w:rsidR="00135D7F" w:rsidRPr="001E20A3" w:rsidRDefault="00135D7F" w:rsidP="00135D7F">
            <w:pPr>
              <w:spacing w:after="120"/>
              <w:jc w:val="both"/>
            </w:pPr>
            <w:r w:rsidRPr="001E20A3">
              <w:t>Altă vulnerabilitate identificată în implementare este generarea unor cheltuieli neeligibile în cadrul proiectelor finanțate din fonduri europene, pe fondul crizei generate de pandemia de COVID-19.</w:t>
            </w:r>
          </w:p>
          <w:p w14:paraId="1A57F4FD" w14:textId="77777777" w:rsidR="00135D7F" w:rsidRPr="001E20A3" w:rsidRDefault="00135D7F" w:rsidP="00135D7F">
            <w:pPr>
              <w:spacing w:after="120"/>
              <w:jc w:val="both"/>
            </w:pPr>
            <w:r w:rsidRPr="001E20A3">
              <w:t>De asemenea, este posibil ca importurile de echipamente/materiale necesare implementării acestor proiecte să nu poată fi livrate, având in vedere restricțiile impuse de către țările de origine, cu impact asupra derulării proiectelor.</w:t>
            </w:r>
          </w:p>
          <w:p w14:paraId="3B5E4CDA" w14:textId="77777777" w:rsidR="00135D7F" w:rsidRPr="001E20A3" w:rsidRDefault="00135D7F" w:rsidP="00135D7F">
            <w:pPr>
              <w:spacing w:after="120"/>
              <w:jc w:val="both"/>
            </w:pPr>
            <w:r w:rsidRPr="001E20A3">
              <w:t>În mod indirect, perturbarea activității operatorilor economici are impact asupra derulării procedurilor de achiziție, precum și întârzieri în prestarea serviciilor, furnizarea bunurilor și în executarea contractelor de lucrari din cauza închiderilor totale sau parțiale ale șantierelor, cu consecințe asupra întârzierii plăților către contractori. La acestea se pot adăuga creșterea costurilor de producție și micșorarea productivității/profitabilității, până la declanșarea insolvenței/falimentului. Acest lucru va conduce la decalarea activităților prevăzute în calendarul de implementare, precum și a graficului de depunere a cererilor de rambursare pentru proiectele finanțate din fonduri europene.</w:t>
            </w:r>
          </w:p>
          <w:p w14:paraId="2BB71C5A" w14:textId="77777777" w:rsidR="00135D7F" w:rsidRPr="001E20A3" w:rsidRDefault="00135D7F" w:rsidP="00135D7F">
            <w:pPr>
              <w:spacing w:after="120"/>
              <w:jc w:val="both"/>
            </w:pPr>
            <w:r w:rsidRPr="001E20A3">
              <w:t>În contextul actual, în care prevalează restricțiile privind circulația per</w:t>
            </w:r>
            <w:r w:rsidR="00FA395B">
              <w:t>s</w:t>
            </w:r>
            <w:r w:rsidRPr="001E20A3">
              <w:t>oanelor și a bunurilor, precum și schimbarea priorităților la nivelul instituțiilor, se estimează înregistrarea unor scăderi ale cererii de servicii și bunuri cu precădere cu privire la activități care vizează inclusiv organizarea de evenimente (ex. sesiuni de formare profesională internă/externă), evenimente de comunicare și realizarea deplasărilor (interne/externe), până la imposibilitatea desfășurării acestora.</w:t>
            </w:r>
          </w:p>
          <w:p w14:paraId="2AC78010" w14:textId="77777777" w:rsidR="00135D7F" w:rsidRPr="001E20A3" w:rsidRDefault="00135D7F" w:rsidP="00135D7F">
            <w:pPr>
              <w:spacing w:after="120"/>
              <w:jc w:val="both"/>
            </w:pPr>
            <w:r w:rsidRPr="001E20A3">
              <w:t>Un caz particular este acela al programelor de cooperare teritorială, care sunt derulate în comun cu parteneri din alte state; astfel, implementarea în această perioadă atât a programelor, pentru care deciziile sunt luate în comun de către toate statele participante, cât și a proiectelor, care implică activități ale partenerilor din mai multe state, depinde și de situația existentă în celelalte state partenere.</w:t>
            </w:r>
          </w:p>
          <w:p w14:paraId="4288B7B6" w14:textId="77777777" w:rsidR="00135D7F" w:rsidRDefault="00135D7F" w:rsidP="00135D7F">
            <w:pPr>
              <w:spacing w:after="120"/>
              <w:jc w:val="both"/>
            </w:pPr>
            <w:r w:rsidRPr="001E20A3">
              <w:t xml:space="preserve">În procesul de contractare, ținând cont de natura documentelor ce trebuie transmise de către solicitant, există riscul depășirii termenului de răspuns ca </w:t>
            </w:r>
            <w:r w:rsidRPr="001E20A3">
              <w:lastRenderedPageBreak/>
              <w:t>urmare a restrângerii activității instituțiilor care furnizează documente cu termen limitat de valabilitate (ex: ANAF pentru Certificatele de atestare fiscală)</w:t>
            </w:r>
            <w:r w:rsidR="00971C78">
              <w:t>;</w:t>
            </w:r>
          </w:p>
          <w:p w14:paraId="11FC890D" w14:textId="77777777" w:rsidR="00261EB6" w:rsidRDefault="006947BD" w:rsidP="00A31761">
            <w:pPr>
              <w:pStyle w:val="al"/>
              <w:shd w:val="clear" w:color="auto" w:fill="FFFFFF"/>
              <w:spacing w:before="0" w:beforeAutospacing="0" w:after="150" w:afterAutospacing="0"/>
              <w:jc w:val="both"/>
              <w:rPr>
                <w:rFonts w:ascii="Times New Roman" w:eastAsia="Times New Roman" w:hAnsi="Times New Roman" w:cs="Times New Roman"/>
                <w:sz w:val="24"/>
                <w:szCs w:val="24"/>
                <w:lang w:val="ro-RO"/>
              </w:rPr>
            </w:pPr>
            <w:r>
              <w:rPr>
                <w:sz w:val="24"/>
                <w:szCs w:val="24"/>
              </w:rPr>
              <w:t>8</w:t>
            </w:r>
            <w:r w:rsidR="00A31761" w:rsidRPr="005F021A">
              <w:rPr>
                <w:sz w:val="24"/>
                <w:szCs w:val="24"/>
              </w:rPr>
              <w:t>.</w:t>
            </w:r>
            <w:r w:rsidR="00A31761">
              <w:t xml:space="preserve"> </w:t>
            </w:r>
            <w:r w:rsidR="00A31761">
              <w:rPr>
                <w:rFonts w:ascii="Times New Roman" w:eastAsia="Times New Roman" w:hAnsi="Times New Roman" w:cs="Times New Roman"/>
                <w:sz w:val="24"/>
                <w:szCs w:val="24"/>
                <w:lang w:val="ro-RO"/>
              </w:rPr>
              <w:t>Pentru</w:t>
            </w:r>
            <w:r w:rsidR="00A31761" w:rsidRPr="005F021A">
              <w:rPr>
                <w:rFonts w:ascii="Times New Roman" w:eastAsia="Times New Roman" w:hAnsi="Times New Roman" w:cs="Times New Roman"/>
                <w:sz w:val="24"/>
                <w:szCs w:val="24"/>
                <w:lang w:val="ro-RO"/>
              </w:rPr>
              <w:t xml:space="preserve"> asigurarea unui flux de numerar adecvat pentru antreprenori în scopul accelerării procesului de implementare a programelor operaționale cu impact direct asupra absorbției </w:t>
            </w:r>
            <w:r w:rsidR="00A31761">
              <w:rPr>
                <w:rFonts w:ascii="Times New Roman" w:eastAsia="Times New Roman" w:hAnsi="Times New Roman" w:cs="Times New Roman"/>
                <w:sz w:val="24"/>
                <w:szCs w:val="24"/>
                <w:lang w:val="ro-RO"/>
              </w:rPr>
              <w:t>fondurilor europene</w:t>
            </w:r>
            <w:r w:rsidR="000254C0">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ș</w:t>
            </w:r>
            <w:r w:rsidR="000254C0">
              <w:rPr>
                <w:rFonts w:ascii="Times New Roman" w:eastAsia="Times New Roman" w:hAnsi="Times New Roman" w:cs="Times New Roman"/>
                <w:sz w:val="24"/>
                <w:szCs w:val="24"/>
                <w:lang w:val="ro-RO"/>
              </w:rPr>
              <w:t>i pentru diminuarea efectelor negative aferente st</w:t>
            </w:r>
            <w:r>
              <w:rPr>
                <w:rFonts w:ascii="Times New Roman" w:eastAsia="Times New Roman" w:hAnsi="Times New Roman" w:cs="Times New Roman"/>
                <w:sz w:val="24"/>
                <w:szCs w:val="24"/>
                <w:lang w:val="ro-RO"/>
              </w:rPr>
              <w:t>ă</w:t>
            </w:r>
            <w:r w:rsidR="000254C0">
              <w:rPr>
                <w:rFonts w:ascii="Times New Roman" w:eastAsia="Times New Roman" w:hAnsi="Times New Roman" w:cs="Times New Roman"/>
                <w:sz w:val="24"/>
                <w:szCs w:val="24"/>
                <w:lang w:val="ro-RO"/>
              </w:rPr>
              <w:t>rii de urgen</w:t>
            </w:r>
            <w:r>
              <w:rPr>
                <w:rFonts w:ascii="Times New Roman" w:eastAsia="Times New Roman" w:hAnsi="Times New Roman" w:cs="Times New Roman"/>
                <w:sz w:val="24"/>
                <w:szCs w:val="24"/>
                <w:lang w:val="ro-RO"/>
              </w:rPr>
              <w:t>ță</w:t>
            </w:r>
            <w:r w:rsidR="000254C0">
              <w:rPr>
                <w:rFonts w:ascii="Times New Roman" w:eastAsia="Times New Roman" w:hAnsi="Times New Roman" w:cs="Times New Roman"/>
                <w:sz w:val="24"/>
                <w:szCs w:val="24"/>
                <w:lang w:val="ro-RO"/>
              </w:rPr>
              <w:t xml:space="preserve"> cauzat</w:t>
            </w:r>
            <w:r>
              <w:rPr>
                <w:rFonts w:ascii="Times New Roman" w:eastAsia="Times New Roman" w:hAnsi="Times New Roman" w:cs="Times New Roman"/>
                <w:sz w:val="24"/>
                <w:szCs w:val="24"/>
                <w:lang w:val="ro-RO"/>
              </w:rPr>
              <w:t>ă</w:t>
            </w:r>
            <w:r w:rsidR="000254C0">
              <w:rPr>
                <w:rFonts w:ascii="Times New Roman" w:eastAsia="Times New Roman" w:hAnsi="Times New Roman" w:cs="Times New Roman"/>
                <w:sz w:val="24"/>
                <w:szCs w:val="24"/>
                <w:lang w:val="ro-RO"/>
              </w:rPr>
              <w:t xml:space="preserve"> de </w:t>
            </w:r>
            <w:r>
              <w:rPr>
                <w:rFonts w:ascii="Times New Roman" w:eastAsia="Times New Roman" w:hAnsi="Times New Roman" w:cs="Times New Roman"/>
                <w:sz w:val="24"/>
                <w:szCs w:val="24"/>
                <w:lang w:val="ro-RO"/>
              </w:rPr>
              <w:t xml:space="preserve">epidemia </w:t>
            </w:r>
            <w:r w:rsidR="000254C0">
              <w:rPr>
                <w:rFonts w:ascii="Times New Roman" w:eastAsia="Times New Roman" w:hAnsi="Times New Roman" w:cs="Times New Roman"/>
                <w:sz w:val="24"/>
                <w:szCs w:val="24"/>
                <w:lang w:val="ro-RO"/>
              </w:rPr>
              <w:t>COVID-19</w:t>
            </w:r>
            <w:r w:rsidR="00A31761">
              <w:rPr>
                <w:rFonts w:ascii="Times New Roman" w:eastAsia="Times New Roman" w:hAnsi="Times New Roman" w:cs="Times New Roman"/>
                <w:sz w:val="24"/>
                <w:szCs w:val="24"/>
                <w:lang w:val="ro-RO"/>
              </w:rPr>
              <w:t>, s-a</w:t>
            </w:r>
            <w:r w:rsidR="00261EB6">
              <w:rPr>
                <w:rFonts w:ascii="Times New Roman" w:eastAsia="Times New Roman" w:hAnsi="Times New Roman" w:cs="Times New Roman"/>
                <w:sz w:val="24"/>
                <w:szCs w:val="24"/>
                <w:lang w:val="ro-RO"/>
              </w:rPr>
              <w:t xml:space="preserve">u stabilit </w:t>
            </w:r>
            <w:r w:rsidR="000254C0">
              <w:rPr>
                <w:rFonts w:ascii="Times New Roman" w:eastAsia="Times New Roman" w:hAnsi="Times New Roman" w:cs="Times New Roman"/>
                <w:sz w:val="24"/>
                <w:szCs w:val="24"/>
                <w:lang w:val="ro-RO"/>
              </w:rPr>
              <w:t>m</w:t>
            </w:r>
            <w:r>
              <w:rPr>
                <w:rFonts w:ascii="Times New Roman" w:eastAsia="Times New Roman" w:hAnsi="Times New Roman" w:cs="Times New Roman"/>
                <w:sz w:val="24"/>
                <w:szCs w:val="24"/>
                <w:lang w:val="ro-RO"/>
              </w:rPr>
              <w:t>ă</w:t>
            </w:r>
            <w:r w:rsidR="000254C0">
              <w:rPr>
                <w:rFonts w:ascii="Times New Roman" w:eastAsia="Times New Roman" w:hAnsi="Times New Roman" w:cs="Times New Roman"/>
                <w:sz w:val="24"/>
                <w:szCs w:val="24"/>
                <w:lang w:val="ro-RO"/>
              </w:rPr>
              <w:t xml:space="preserve">suri </w:t>
            </w:r>
            <w:r w:rsidR="00261EB6">
              <w:rPr>
                <w:rFonts w:ascii="Times New Roman" w:eastAsia="Times New Roman" w:hAnsi="Times New Roman" w:cs="Times New Roman"/>
                <w:sz w:val="24"/>
                <w:szCs w:val="24"/>
                <w:lang w:val="ro-RO"/>
              </w:rPr>
              <w:t>pentru asigurarea mijloacelor necesare derul</w:t>
            </w:r>
            <w:r>
              <w:rPr>
                <w:rFonts w:ascii="Times New Roman" w:eastAsia="Times New Roman" w:hAnsi="Times New Roman" w:cs="Times New Roman"/>
                <w:sz w:val="24"/>
                <w:szCs w:val="24"/>
                <w:lang w:val="ro-RO"/>
              </w:rPr>
              <w:t>ă</w:t>
            </w:r>
            <w:r w:rsidR="00261EB6">
              <w:rPr>
                <w:rFonts w:ascii="Times New Roman" w:eastAsia="Times New Roman" w:hAnsi="Times New Roman" w:cs="Times New Roman"/>
                <w:sz w:val="24"/>
                <w:szCs w:val="24"/>
                <w:lang w:val="ro-RO"/>
              </w:rPr>
              <w:t>rii contractelor, astfel:</w:t>
            </w:r>
          </w:p>
          <w:p w14:paraId="20227996" w14:textId="77777777" w:rsidR="00A31761" w:rsidRDefault="00261EB6" w:rsidP="00A31761">
            <w:pPr>
              <w:pStyle w:val="al"/>
              <w:shd w:val="clear" w:color="auto" w:fill="FFFFFF"/>
              <w:spacing w:before="0" w:beforeAutospacing="0" w:after="150" w:afterAutospacing="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S-a</w:t>
            </w:r>
            <w:r w:rsidR="00A31761">
              <w:rPr>
                <w:rFonts w:ascii="Times New Roman" w:eastAsia="Times New Roman" w:hAnsi="Times New Roman" w:cs="Times New Roman"/>
                <w:sz w:val="24"/>
                <w:szCs w:val="24"/>
                <w:lang w:val="ro-RO"/>
              </w:rPr>
              <w:t xml:space="preserve"> creat posibilitatea modific</w:t>
            </w:r>
            <w:r w:rsidR="00971C78">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rii contractelor de lucr</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ri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n sensul pl</w:t>
            </w:r>
            <w:r w:rsidR="00717ED2">
              <w:rPr>
                <w:rFonts w:ascii="Times New Roman" w:eastAsia="Times New Roman" w:hAnsi="Times New Roman" w:cs="Times New Roman"/>
                <w:sz w:val="24"/>
                <w:szCs w:val="24"/>
                <w:lang w:val="ro-RO"/>
              </w:rPr>
              <w:t>ăț</w:t>
            </w:r>
            <w:r w:rsidR="00A31761">
              <w:rPr>
                <w:rFonts w:ascii="Times New Roman" w:eastAsia="Times New Roman" w:hAnsi="Times New Roman" w:cs="Times New Roman"/>
                <w:sz w:val="24"/>
                <w:szCs w:val="24"/>
                <w:lang w:val="ro-RO"/>
              </w:rPr>
              <w:t xml:space="preserve">ii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 xml:space="preserve">n avans a echipamentelor </w:t>
            </w:r>
            <w:r w:rsidR="00717ED2">
              <w:rPr>
                <w:rFonts w:ascii="Times New Roman" w:eastAsia="Times New Roman" w:hAnsi="Times New Roman" w:cs="Times New Roman"/>
                <w:sz w:val="24"/>
                <w:szCs w:val="24"/>
                <w:lang w:val="ro-RO"/>
              </w:rPr>
              <w:t>ș</w:t>
            </w:r>
            <w:r w:rsidR="00A31761">
              <w:rPr>
                <w:rFonts w:ascii="Times New Roman" w:eastAsia="Times New Roman" w:hAnsi="Times New Roman" w:cs="Times New Roman"/>
                <w:sz w:val="24"/>
                <w:szCs w:val="24"/>
                <w:lang w:val="ro-RO"/>
              </w:rPr>
              <w:t>i materialelor ce urmeaz</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a fi puse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n oper</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Astfel, </w:t>
            </w:r>
            <w:r w:rsidR="00717ED2">
              <w:rPr>
                <w:rFonts w:ascii="Times New Roman" w:eastAsia="Times New Roman" w:hAnsi="Times New Roman" w:cs="Times New Roman"/>
                <w:sz w:val="24"/>
                <w:szCs w:val="24"/>
                <w:lang w:val="ro-RO"/>
              </w:rPr>
              <w:t>întrucât</w:t>
            </w:r>
            <w:r w:rsidR="00A31761">
              <w:rPr>
                <w:rFonts w:ascii="Times New Roman" w:eastAsia="Times New Roman" w:hAnsi="Times New Roman" w:cs="Times New Roman"/>
                <w:sz w:val="24"/>
                <w:szCs w:val="24"/>
                <w:lang w:val="ro-RO"/>
              </w:rPr>
              <w:t xml:space="preserve"> activitatea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 xml:space="preserve">n </w:t>
            </w:r>
            <w:r w:rsidR="00717ED2">
              <w:rPr>
                <w:rFonts w:ascii="Times New Roman" w:eastAsia="Times New Roman" w:hAnsi="Times New Roman" w:cs="Times New Roman"/>
                <w:sz w:val="24"/>
                <w:szCs w:val="24"/>
                <w:lang w:val="ro-RO"/>
              </w:rPr>
              <w:t>ș</w:t>
            </w:r>
            <w:r w:rsidR="00A31761">
              <w:rPr>
                <w:rFonts w:ascii="Times New Roman" w:eastAsia="Times New Roman" w:hAnsi="Times New Roman" w:cs="Times New Roman"/>
                <w:sz w:val="24"/>
                <w:szCs w:val="24"/>
                <w:lang w:val="ro-RO"/>
              </w:rPr>
              <w:t>antiere poate fi afectat</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de </w:t>
            </w:r>
            <w:r w:rsidR="00717ED2">
              <w:rPr>
                <w:rFonts w:ascii="Times New Roman" w:eastAsia="Times New Roman" w:hAnsi="Times New Roman" w:cs="Times New Roman"/>
                <w:sz w:val="24"/>
                <w:szCs w:val="24"/>
                <w:lang w:val="ro-RO"/>
              </w:rPr>
              <w:t>epidemia</w:t>
            </w:r>
            <w:r w:rsidR="00A31761">
              <w:rPr>
                <w:rFonts w:ascii="Times New Roman" w:eastAsia="Times New Roman" w:hAnsi="Times New Roman" w:cs="Times New Roman"/>
                <w:sz w:val="24"/>
                <w:szCs w:val="24"/>
                <w:lang w:val="ro-RO"/>
              </w:rPr>
              <w:t xml:space="preserve"> COVID-19, se pot comanda, pl</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ti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 xml:space="preserve">n avans </w:t>
            </w:r>
            <w:r w:rsidR="00717ED2">
              <w:rPr>
                <w:rFonts w:ascii="Times New Roman" w:eastAsia="Times New Roman" w:hAnsi="Times New Roman" w:cs="Times New Roman"/>
                <w:sz w:val="24"/>
                <w:szCs w:val="24"/>
                <w:lang w:val="ro-RO"/>
              </w:rPr>
              <w:t>ș</w:t>
            </w:r>
            <w:r w:rsidR="00A31761">
              <w:rPr>
                <w:rFonts w:ascii="Times New Roman" w:eastAsia="Times New Roman" w:hAnsi="Times New Roman" w:cs="Times New Roman"/>
                <w:sz w:val="24"/>
                <w:szCs w:val="24"/>
                <w:lang w:val="ro-RO"/>
              </w:rPr>
              <w:t xml:space="preserve">i crea stocuri de materiale </w:t>
            </w:r>
            <w:r w:rsidR="00717ED2">
              <w:rPr>
                <w:rFonts w:ascii="Times New Roman" w:eastAsia="Times New Roman" w:hAnsi="Times New Roman" w:cs="Times New Roman"/>
                <w:sz w:val="24"/>
                <w:szCs w:val="24"/>
                <w:lang w:val="ro-RO"/>
              </w:rPr>
              <w:t>ș</w:t>
            </w:r>
            <w:r w:rsidR="00A31761">
              <w:rPr>
                <w:rFonts w:ascii="Times New Roman" w:eastAsia="Times New Roman" w:hAnsi="Times New Roman" w:cs="Times New Roman"/>
                <w:sz w:val="24"/>
                <w:szCs w:val="24"/>
                <w:lang w:val="ro-RO"/>
              </w:rPr>
              <w:t>i echipamente de construc</w:t>
            </w:r>
            <w:r w:rsidR="00717ED2">
              <w:rPr>
                <w:rFonts w:ascii="Times New Roman" w:eastAsia="Times New Roman" w:hAnsi="Times New Roman" w:cs="Times New Roman"/>
                <w:sz w:val="24"/>
                <w:szCs w:val="24"/>
                <w:lang w:val="ro-RO"/>
              </w:rPr>
              <w:t>ț</w:t>
            </w:r>
            <w:r w:rsidR="00A31761">
              <w:rPr>
                <w:rFonts w:ascii="Times New Roman" w:eastAsia="Times New Roman" w:hAnsi="Times New Roman" w:cs="Times New Roman"/>
                <w:sz w:val="24"/>
                <w:szCs w:val="24"/>
                <w:lang w:val="ro-RO"/>
              </w:rPr>
              <w:t xml:space="preserve">ii astfel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nc</w:t>
            </w:r>
            <w:r w:rsidR="00717ED2">
              <w:rPr>
                <w:rFonts w:ascii="Times New Roman" w:eastAsia="Times New Roman" w:hAnsi="Times New Roman" w:cs="Times New Roman"/>
                <w:sz w:val="24"/>
                <w:szCs w:val="24"/>
                <w:lang w:val="ro-RO"/>
              </w:rPr>
              <w:t>â</w:t>
            </w:r>
            <w:r w:rsidR="00A31761">
              <w:rPr>
                <w:rFonts w:ascii="Times New Roman" w:eastAsia="Times New Roman" w:hAnsi="Times New Roman" w:cs="Times New Roman"/>
                <w:sz w:val="24"/>
                <w:szCs w:val="24"/>
                <w:lang w:val="ro-RO"/>
              </w:rPr>
              <w:t xml:space="preserve">t,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 xml:space="preserve">n momentul </w:t>
            </w:r>
            <w:r w:rsidR="00717ED2">
              <w:rPr>
                <w:rFonts w:ascii="Times New Roman" w:eastAsia="Times New Roman" w:hAnsi="Times New Roman" w:cs="Times New Roman"/>
                <w:sz w:val="24"/>
                <w:szCs w:val="24"/>
                <w:lang w:val="ro-RO"/>
              </w:rPr>
              <w:t>î</w:t>
            </w:r>
            <w:r w:rsidR="00A31761">
              <w:rPr>
                <w:rFonts w:ascii="Times New Roman" w:eastAsia="Times New Roman" w:hAnsi="Times New Roman" w:cs="Times New Roman"/>
                <w:sz w:val="24"/>
                <w:szCs w:val="24"/>
                <w:lang w:val="ro-RO"/>
              </w:rPr>
              <w:t>ncet</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rii st</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rii de urgen</w:t>
            </w:r>
            <w:r w:rsidR="00717ED2">
              <w:rPr>
                <w:rFonts w:ascii="Times New Roman" w:eastAsia="Times New Roman" w:hAnsi="Times New Roman" w:cs="Times New Roman"/>
                <w:sz w:val="24"/>
                <w:szCs w:val="24"/>
                <w:lang w:val="ro-RO"/>
              </w:rPr>
              <w:t>ță</w:t>
            </w:r>
            <w:r w:rsidR="00A31761">
              <w:rPr>
                <w:rFonts w:ascii="Times New Roman" w:eastAsia="Times New Roman" w:hAnsi="Times New Roman" w:cs="Times New Roman"/>
                <w:sz w:val="24"/>
                <w:szCs w:val="24"/>
                <w:lang w:val="ro-RO"/>
              </w:rPr>
              <w:t>, s</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poat</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fi reluat</w:t>
            </w:r>
            <w:r w:rsidR="00717ED2">
              <w:rPr>
                <w:rFonts w:ascii="Times New Roman" w:eastAsia="Times New Roman" w:hAnsi="Times New Roman" w:cs="Times New Roman"/>
                <w:sz w:val="24"/>
                <w:szCs w:val="24"/>
                <w:lang w:val="ro-RO"/>
              </w:rPr>
              <w:t>ă</w:t>
            </w:r>
            <w:r w:rsidR="00A31761">
              <w:rPr>
                <w:rFonts w:ascii="Times New Roman" w:eastAsia="Times New Roman" w:hAnsi="Times New Roman" w:cs="Times New Roman"/>
                <w:sz w:val="24"/>
                <w:szCs w:val="24"/>
                <w:lang w:val="ro-RO"/>
              </w:rPr>
              <w:t xml:space="preserve"> activitatea de construc</w:t>
            </w:r>
            <w:r w:rsidR="00717ED2">
              <w:rPr>
                <w:rFonts w:ascii="Times New Roman" w:eastAsia="Times New Roman" w:hAnsi="Times New Roman" w:cs="Times New Roman"/>
                <w:sz w:val="24"/>
                <w:szCs w:val="24"/>
                <w:lang w:val="ro-RO"/>
              </w:rPr>
              <w:t>ț</w:t>
            </w:r>
            <w:r w:rsidR="00A31761">
              <w:rPr>
                <w:rFonts w:ascii="Times New Roman" w:eastAsia="Times New Roman" w:hAnsi="Times New Roman" w:cs="Times New Roman"/>
                <w:sz w:val="24"/>
                <w:szCs w:val="24"/>
                <w:lang w:val="ro-RO"/>
              </w:rPr>
              <w:t>ii, av</w:t>
            </w:r>
            <w:r w:rsidR="00717ED2">
              <w:rPr>
                <w:rFonts w:ascii="Times New Roman" w:eastAsia="Times New Roman" w:hAnsi="Times New Roman" w:cs="Times New Roman"/>
                <w:sz w:val="24"/>
                <w:szCs w:val="24"/>
                <w:lang w:val="ro-RO"/>
              </w:rPr>
              <w:t>â</w:t>
            </w:r>
            <w:r w:rsidR="00A31761">
              <w:rPr>
                <w:rFonts w:ascii="Times New Roman" w:eastAsia="Times New Roman" w:hAnsi="Times New Roman" w:cs="Times New Roman"/>
                <w:sz w:val="24"/>
                <w:szCs w:val="24"/>
                <w:lang w:val="ro-RO"/>
              </w:rPr>
              <w:t>nd toate premisele unui ritm sus</w:t>
            </w:r>
            <w:r w:rsidR="00717ED2">
              <w:rPr>
                <w:rFonts w:ascii="Times New Roman" w:eastAsia="Times New Roman" w:hAnsi="Times New Roman" w:cs="Times New Roman"/>
                <w:sz w:val="24"/>
                <w:szCs w:val="24"/>
                <w:lang w:val="ro-RO"/>
              </w:rPr>
              <w:t>ț</w:t>
            </w:r>
            <w:r w:rsidR="00A31761">
              <w:rPr>
                <w:rFonts w:ascii="Times New Roman" w:eastAsia="Times New Roman" w:hAnsi="Times New Roman" w:cs="Times New Roman"/>
                <w:sz w:val="24"/>
                <w:szCs w:val="24"/>
                <w:lang w:val="ro-RO"/>
              </w:rPr>
              <w:t xml:space="preserve">inut de implementare. </w:t>
            </w:r>
          </w:p>
          <w:p w14:paraId="659F3C5E" w14:textId="77777777" w:rsidR="00484A96" w:rsidRDefault="00261EB6" w:rsidP="005F021A">
            <w:pPr>
              <w:jc w:val="both"/>
            </w:pPr>
            <w:r>
              <w:t>b) S-a creat posibilitatea modific</w:t>
            </w:r>
            <w:r w:rsidR="00717ED2">
              <w:t>ă</w:t>
            </w:r>
            <w:r>
              <w:t>rii contractelor de lucr</w:t>
            </w:r>
            <w:r w:rsidR="00717ED2">
              <w:t>ă</w:t>
            </w:r>
            <w:r>
              <w:t xml:space="preserve">ri </w:t>
            </w:r>
            <w:r w:rsidR="00717ED2">
              <w:t>î</w:t>
            </w:r>
            <w:r>
              <w:t>n sensul</w:t>
            </w:r>
            <w:r w:rsidR="00484A96" w:rsidRPr="00484A96">
              <w:rPr>
                <w:rFonts w:ascii="Georgia" w:hAnsi="Georgia"/>
                <w:b/>
                <w:bCs/>
                <w:color w:val="515151"/>
                <w:sz w:val="30"/>
                <w:szCs w:val="30"/>
                <w:shd w:val="clear" w:color="auto" w:fill="FFFFFF"/>
                <w:lang w:val="en-US"/>
              </w:rPr>
              <w:t xml:space="preserve"> </w:t>
            </w:r>
            <w:r w:rsidR="00484A96" w:rsidRPr="005F021A">
              <w:t>reducerii valorii minime a certificatelor interimare de plat</w:t>
            </w:r>
            <w:r w:rsidR="00717ED2">
              <w:t>ă</w:t>
            </w:r>
            <w:r w:rsidR="00484A96" w:rsidRPr="005F021A">
              <w:t xml:space="preserve"> </w:t>
            </w:r>
            <w:r w:rsidR="00717ED2">
              <w:t>î</w:t>
            </w:r>
            <w:r w:rsidR="00484A96" w:rsidRPr="005F021A">
              <w:t>n cadrul contractelor de lucr</w:t>
            </w:r>
            <w:r w:rsidR="00717ED2">
              <w:t>ă</w:t>
            </w:r>
            <w:r w:rsidR="00484A96" w:rsidRPr="005F021A">
              <w:t>ri finan</w:t>
            </w:r>
            <w:r w:rsidR="00717ED2">
              <w:t>ț</w:t>
            </w:r>
            <w:r w:rsidR="00484A96" w:rsidRPr="005F021A">
              <w:t>ate</w:t>
            </w:r>
            <w:r w:rsidR="00484A96">
              <w:t xml:space="preserve"> din fonduri europene, pentru asigurarea unui ritm rapid al pl</w:t>
            </w:r>
            <w:r w:rsidR="00717ED2">
              <w:t>ăț</w:t>
            </w:r>
            <w:r w:rsidR="00484A96">
              <w:t>ilor dup</w:t>
            </w:r>
            <w:r w:rsidR="00717ED2">
              <w:t>ă</w:t>
            </w:r>
            <w:r w:rsidR="00484A96">
              <w:t xml:space="preserve"> executarea lucr</w:t>
            </w:r>
            <w:r w:rsidR="00717ED2">
              <w:t>ă</w:t>
            </w:r>
            <w:r w:rsidR="00484A96">
              <w:t xml:space="preserve">rilor, </w:t>
            </w:r>
            <w:r w:rsidR="00717ED2">
              <w:t>î</w:t>
            </w:r>
            <w:r w:rsidR="00484A96">
              <w:t xml:space="preserve">n prealabil certificate de supervizor </w:t>
            </w:r>
            <w:r w:rsidR="00717ED2">
              <w:t>ș</w:t>
            </w:r>
            <w:r w:rsidR="00484A96">
              <w:t>i aprobate de c</w:t>
            </w:r>
            <w:r w:rsidR="00717ED2">
              <w:t>ă</w:t>
            </w:r>
            <w:r w:rsidR="00484A96">
              <w:t xml:space="preserve">tre beneficiar, </w:t>
            </w:r>
            <w:r w:rsidR="00717ED2">
              <w:t>î</w:t>
            </w:r>
            <w:r w:rsidR="00484A96">
              <w:t xml:space="preserve">n conformitate cu prevederile legale </w:t>
            </w:r>
            <w:r w:rsidR="00717ED2">
              <w:t>în</w:t>
            </w:r>
            <w:r w:rsidR="00484A96">
              <w:t xml:space="preserve"> domeniu.  </w:t>
            </w:r>
          </w:p>
          <w:p w14:paraId="28DBC9ED" w14:textId="77777777" w:rsidR="00484A96" w:rsidRDefault="00484A96" w:rsidP="005F021A">
            <w:pPr>
              <w:jc w:val="both"/>
              <w:rPr>
                <w:b/>
                <w:bCs/>
              </w:rPr>
            </w:pPr>
          </w:p>
          <w:p w14:paraId="12DE5288" w14:textId="77777777" w:rsidR="00A31761" w:rsidRPr="001E20A3" w:rsidRDefault="00484A96" w:rsidP="00431622">
            <w:pPr>
              <w:pStyle w:val="al"/>
              <w:shd w:val="clear" w:color="auto" w:fill="FFFFFF"/>
              <w:spacing w:before="0" w:beforeAutospacing="0" w:after="150" w:afterAutospacing="0"/>
              <w:jc w:val="both"/>
              <w:rPr>
                <w:b/>
              </w:rPr>
            </w:pPr>
            <w:r>
              <w:rPr>
                <w:rFonts w:ascii="Times New Roman" w:eastAsia="Times New Roman" w:hAnsi="Times New Roman" w:cs="Times New Roman"/>
                <w:sz w:val="24"/>
                <w:szCs w:val="24"/>
                <w:lang w:val="ro-RO"/>
              </w:rPr>
              <w:t>M</w:t>
            </w:r>
            <w:r w:rsidR="00717ED2">
              <w:rPr>
                <w:rFonts w:ascii="Times New Roman" w:eastAsia="Times New Roman" w:hAnsi="Times New Roman" w:cs="Times New Roman"/>
                <w:sz w:val="24"/>
                <w:szCs w:val="24"/>
                <w:lang w:val="ro-RO"/>
              </w:rPr>
              <w:t>ă</w:t>
            </w:r>
            <w:r>
              <w:rPr>
                <w:rFonts w:ascii="Times New Roman" w:eastAsia="Times New Roman" w:hAnsi="Times New Roman" w:cs="Times New Roman"/>
                <w:sz w:val="24"/>
                <w:szCs w:val="24"/>
                <w:lang w:val="ro-RO"/>
              </w:rPr>
              <w:t xml:space="preserve">surile prezentate au fost utilizate cu succes </w:t>
            </w:r>
            <w:r w:rsidR="00717ED2">
              <w:rPr>
                <w:rFonts w:ascii="Times New Roman" w:eastAsia="Times New Roman" w:hAnsi="Times New Roman" w:cs="Times New Roman"/>
                <w:sz w:val="24"/>
                <w:szCs w:val="24"/>
                <w:lang w:val="ro-RO"/>
              </w:rPr>
              <w:t>ș</w:t>
            </w:r>
            <w:r>
              <w:rPr>
                <w:rFonts w:ascii="Times New Roman" w:eastAsia="Times New Roman" w:hAnsi="Times New Roman" w:cs="Times New Roman"/>
                <w:sz w:val="24"/>
                <w:szCs w:val="24"/>
                <w:lang w:val="ro-RO"/>
              </w:rPr>
              <w:t xml:space="preserve">i </w:t>
            </w:r>
            <w:r w:rsidR="00717ED2">
              <w:rPr>
                <w:rFonts w:ascii="Times New Roman" w:eastAsia="Times New Roman" w:hAnsi="Times New Roman" w:cs="Times New Roman"/>
                <w:sz w:val="24"/>
                <w:szCs w:val="24"/>
                <w:lang w:val="ro-RO"/>
              </w:rPr>
              <w:t>î</w:t>
            </w:r>
            <w:r>
              <w:rPr>
                <w:rFonts w:ascii="Times New Roman" w:eastAsia="Times New Roman" w:hAnsi="Times New Roman" w:cs="Times New Roman"/>
                <w:sz w:val="24"/>
                <w:szCs w:val="24"/>
                <w:lang w:val="ro-RO"/>
              </w:rPr>
              <w:t>n perioada precedent</w:t>
            </w:r>
            <w:r w:rsidR="00717ED2">
              <w:rPr>
                <w:rFonts w:ascii="Times New Roman" w:eastAsia="Times New Roman" w:hAnsi="Times New Roman" w:cs="Times New Roman"/>
                <w:sz w:val="24"/>
                <w:szCs w:val="24"/>
                <w:lang w:val="ro-RO"/>
              </w:rPr>
              <w:t>ă</w:t>
            </w:r>
            <w:r>
              <w:rPr>
                <w:rFonts w:ascii="Times New Roman" w:eastAsia="Times New Roman" w:hAnsi="Times New Roman" w:cs="Times New Roman"/>
                <w:sz w:val="24"/>
                <w:szCs w:val="24"/>
                <w:lang w:val="ro-RO"/>
              </w:rPr>
              <w:t xml:space="preserve"> de programare</w:t>
            </w:r>
            <w:r w:rsidR="00431622">
              <w:rPr>
                <w:rFonts w:ascii="Times New Roman" w:eastAsia="Times New Roman" w:hAnsi="Times New Roman" w:cs="Times New Roman"/>
                <w:sz w:val="24"/>
                <w:szCs w:val="24"/>
                <w:lang w:val="ro-RO"/>
              </w:rPr>
              <w:t xml:space="preserve"> prin instructiuni ale autoritatilor de management, in baza prevederilor legale aferente perioadei precedente de programare</w:t>
            </w:r>
            <w:r w:rsidR="00717ED2">
              <w:rPr>
                <w:rFonts w:ascii="Times New Roman" w:eastAsia="Times New Roman" w:hAnsi="Times New Roman" w:cs="Times New Roman"/>
                <w:sz w:val="24"/>
                <w:szCs w:val="24"/>
                <w:lang w:val="ro-RO"/>
              </w:rPr>
              <w:t>.</w:t>
            </w:r>
          </w:p>
        </w:tc>
      </w:tr>
      <w:tr w:rsidR="00670C79" w:rsidRPr="00256214" w14:paraId="2C1F2692" w14:textId="77777777" w:rsidTr="00EF2A2C">
        <w:trPr>
          <w:trHeight w:val="952"/>
        </w:trPr>
        <w:tc>
          <w:tcPr>
            <w:tcW w:w="2684" w:type="dxa"/>
          </w:tcPr>
          <w:p w14:paraId="004ED543" w14:textId="77777777" w:rsidR="00670C79" w:rsidRPr="001E20A3" w:rsidRDefault="00670C79" w:rsidP="00CB0A5E">
            <w:pPr>
              <w:tabs>
                <w:tab w:val="left" w:pos="90"/>
              </w:tabs>
              <w:spacing w:after="120"/>
              <w:jc w:val="both"/>
            </w:pPr>
            <w:r w:rsidRPr="001E20A3">
              <w:lastRenderedPageBreak/>
              <w:t>3.Alte informaţii</w:t>
            </w:r>
          </w:p>
        </w:tc>
        <w:tc>
          <w:tcPr>
            <w:tcW w:w="7513" w:type="dxa"/>
          </w:tcPr>
          <w:p w14:paraId="6B580E08" w14:textId="77777777" w:rsidR="00670C79" w:rsidRPr="001E20A3" w:rsidRDefault="00135D7F" w:rsidP="00CB0A5E">
            <w:pPr>
              <w:pStyle w:val="Footer"/>
              <w:pBdr>
                <w:top w:val="nil"/>
                <w:left w:val="nil"/>
                <w:bottom w:val="nil"/>
                <w:right w:val="nil"/>
                <w:between w:val="nil"/>
              </w:pBdr>
              <w:tabs>
                <w:tab w:val="left" w:pos="426"/>
              </w:tabs>
              <w:spacing w:after="120"/>
              <w:jc w:val="both"/>
            </w:pPr>
            <w:r w:rsidRPr="001E20A3">
              <w:t>Nu au fost identificate.</w:t>
            </w:r>
          </w:p>
        </w:tc>
      </w:tr>
    </w:tbl>
    <w:p w14:paraId="421772D9" w14:textId="77777777" w:rsidR="00026B13" w:rsidRPr="001E20A3" w:rsidRDefault="00026B13" w:rsidP="006A2E4E">
      <w:pPr>
        <w:tabs>
          <w:tab w:val="left" w:pos="90"/>
        </w:tabs>
        <w:spacing w:after="120"/>
        <w:rPr>
          <w:b/>
        </w:rPr>
      </w:pPr>
    </w:p>
    <w:p w14:paraId="189DD76F" w14:textId="77777777" w:rsidR="00670C79" w:rsidRPr="001E20A3" w:rsidRDefault="00670C79" w:rsidP="006A2E4E">
      <w:pPr>
        <w:tabs>
          <w:tab w:val="left" w:pos="90"/>
        </w:tabs>
        <w:spacing w:after="120"/>
        <w:rPr>
          <w:b/>
        </w:rPr>
      </w:pPr>
      <w:r w:rsidRPr="001E20A3">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670C79" w:rsidRPr="00256214" w14:paraId="15863F0F" w14:textId="77777777" w:rsidTr="00A65D25">
        <w:tc>
          <w:tcPr>
            <w:tcW w:w="2684" w:type="dxa"/>
          </w:tcPr>
          <w:p w14:paraId="7A5E86AD" w14:textId="77777777" w:rsidR="00670C79" w:rsidRPr="001E20A3" w:rsidRDefault="00670C79" w:rsidP="006A2E4E">
            <w:pPr>
              <w:tabs>
                <w:tab w:val="left" w:pos="90"/>
              </w:tabs>
              <w:spacing w:after="120"/>
            </w:pPr>
            <w:r w:rsidRPr="001E20A3">
              <w:t>1. Impactul macroeconomic</w:t>
            </w:r>
          </w:p>
        </w:tc>
        <w:tc>
          <w:tcPr>
            <w:tcW w:w="7556" w:type="dxa"/>
            <w:vAlign w:val="center"/>
          </w:tcPr>
          <w:p w14:paraId="17619462" w14:textId="77777777" w:rsidR="00670C79" w:rsidRPr="001E20A3" w:rsidRDefault="00670C79" w:rsidP="006A2E4E">
            <w:pPr>
              <w:tabs>
                <w:tab w:val="left" w:pos="90"/>
              </w:tabs>
              <w:spacing w:after="120"/>
            </w:pPr>
            <w:r w:rsidRPr="001E20A3">
              <w:t>Proiectul de act normativ nu se referă la acest subiect.</w:t>
            </w:r>
          </w:p>
        </w:tc>
      </w:tr>
      <w:tr w:rsidR="00670C79" w:rsidRPr="00256214" w14:paraId="5533DFE0" w14:textId="77777777" w:rsidTr="00A65D25">
        <w:tc>
          <w:tcPr>
            <w:tcW w:w="2684" w:type="dxa"/>
          </w:tcPr>
          <w:p w14:paraId="5A2DD28D" w14:textId="77777777" w:rsidR="00670C79" w:rsidRPr="001E20A3" w:rsidRDefault="00670C79" w:rsidP="006A2E4E">
            <w:pPr>
              <w:tabs>
                <w:tab w:val="left" w:pos="90"/>
              </w:tabs>
              <w:spacing w:after="120"/>
            </w:pPr>
            <w:r w:rsidRPr="001E20A3">
              <w:t>1</w:t>
            </w:r>
            <w:r w:rsidRPr="001E20A3">
              <w:rPr>
                <w:vertAlign w:val="superscript"/>
              </w:rPr>
              <w:t>1</w:t>
            </w:r>
            <w:r w:rsidRPr="001E20A3">
              <w:t>. Impactul asupra mediului concurenţial şi domeniului ajutoarelor de stat</w:t>
            </w:r>
          </w:p>
        </w:tc>
        <w:tc>
          <w:tcPr>
            <w:tcW w:w="7556" w:type="dxa"/>
            <w:vAlign w:val="center"/>
          </w:tcPr>
          <w:p w14:paraId="2AF35C97" w14:textId="77777777" w:rsidR="00670C79" w:rsidRPr="001E20A3" w:rsidRDefault="00670C79" w:rsidP="006A2E4E">
            <w:pPr>
              <w:tabs>
                <w:tab w:val="left" w:pos="90"/>
              </w:tabs>
              <w:spacing w:after="120"/>
              <w:jc w:val="both"/>
            </w:pPr>
            <w:r w:rsidRPr="001E20A3">
              <w:t>Proiectul de act normativ nu se referă la acest subiect.</w:t>
            </w:r>
          </w:p>
        </w:tc>
      </w:tr>
      <w:tr w:rsidR="00670C79" w:rsidRPr="00256214" w14:paraId="5D014AA0" w14:textId="77777777" w:rsidTr="00A65D25">
        <w:tc>
          <w:tcPr>
            <w:tcW w:w="2684" w:type="dxa"/>
          </w:tcPr>
          <w:p w14:paraId="4220781B" w14:textId="77777777" w:rsidR="00670C79" w:rsidRPr="001E20A3" w:rsidRDefault="00670C79" w:rsidP="006A2E4E">
            <w:pPr>
              <w:tabs>
                <w:tab w:val="left" w:pos="90"/>
              </w:tabs>
              <w:spacing w:after="120"/>
            </w:pPr>
            <w:r w:rsidRPr="001E20A3">
              <w:t>2. Impact asupra mediului de afaceri</w:t>
            </w:r>
          </w:p>
        </w:tc>
        <w:tc>
          <w:tcPr>
            <w:tcW w:w="7556" w:type="dxa"/>
            <w:vAlign w:val="center"/>
          </w:tcPr>
          <w:p w14:paraId="72AC7494" w14:textId="77777777" w:rsidR="00670C79" w:rsidRPr="001E20A3" w:rsidRDefault="00670C79" w:rsidP="006A2E4E">
            <w:pPr>
              <w:tabs>
                <w:tab w:val="left" w:pos="90"/>
              </w:tabs>
              <w:spacing w:after="120"/>
              <w:jc w:val="both"/>
            </w:pPr>
            <w:r w:rsidRPr="001E20A3">
              <w:t>Proiectul de act normativ nu se referă la acest subiect.</w:t>
            </w:r>
          </w:p>
        </w:tc>
      </w:tr>
      <w:tr w:rsidR="00670C79" w:rsidRPr="00256214" w14:paraId="09B54B78" w14:textId="77777777" w:rsidTr="00A65D25">
        <w:tc>
          <w:tcPr>
            <w:tcW w:w="2684" w:type="dxa"/>
          </w:tcPr>
          <w:p w14:paraId="1598B584" w14:textId="77777777" w:rsidR="00670C79" w:rsidRPr="001E20A3" w:rsidRDefault="00670C79" w:rsidP="006A2E4E">
            <w:pPr>
              <w:shd w:val="clear" w:color="auto" w:fill="FFFFFF"/>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1E20A3">
              <w:rPr>
                <w:lang w:eastAsia="ro-RO"/>
              </w:rPr>
              <w:t>2^1. Impactul asupra sarcinilor administrative</w:t>
            </w:r>
          </w:p>
        </w:tc>
        <w:tc>
          <w:tcPr>
            <w:tcW w:w="7556" w:type="dxa"/>
            <w:vAlign w:val="center"/>
          </w:tcPr>
          <w:p w14:paraId="1E78572E" w14:textId="77777777" w:rsidR="00670C79" w:rsidRPr="001E20A3" w:rsidRDefault="00670C79" w:rsidP="006A2E4E">
            <w:pPr>
              <w:tabs>
                <w:tab w:val="left" w:pos="90"/>
              </w:tabs>
              <w:spacing w:after="120"/>
              <w:jc w:val="both"/>
            </w:pPr>
            <w:r w:rsidRPr="001E20A3">
              <w:t>Proiectul de act normativ nu se referă la acest subiect.</w:t>
            </w:r>
          </w:p>
        </w:tc>
      </w:tr>
      <w:tr w:rsidR="00670C79" w:rsidRPr="00256214" w14:paraId="33DA3D3C" w14:textId="77777777" w:rsidTr="00A65D25">
        <w:tc>
          <w:tcPr>
            <w:tcW w:w="2684" w:type="dxa"/>
          </w:tcPr>
          <w:p w14:paraId="0B1CE036" w14:textId="77777777" w:rsidR="00670C79" w:rsidRPr="001E20A3" w:rsidRDefault="00670C79" w:rsidP="006A2E4E">
            <w:pPr>
              <w:pStyle w:val="HTMLPreformatted"/>
              <w:shd w:val="clear" w:color="auto" w:fill="FFFFFF"/>
              <w:tabs>
                <w:tab w:val="left" w:pos="90"/>
              </w:tabs>
              <w:spacing w:after="120"/>
              <w:rPr>
                <w:rFonts w:ascii="Times New Roman" w:hAnsi="Times New Roman" w:cs="Times New Roman"/>
                <w:sz w:val="24"/>
                <w:szCs w:val="24"/>
              </w:rPr>
            </w:pPr>
            <w:r w:rsidRPr="001E20A3">
              <w:rPr>
                <w:rFonts w:ascii="Times New Roman" w:hAnsi="Times New Roman" w:cs="Times New Roman"/>
                <w:sz w:val="24"/>
                <w:szCs w:val="24"/>
              </w:rPr>
              <w:t>2^2. Impactul asupra întreprinderilor mici și mijlocii</w:t>
            </w:r>
          </w:p>
        </w:tc>
        <w:tc>
          <w:tcPr>
            <w:tcW w:w="7556" w:type="dxa"/>
            <w:vAlign w:val="center"/>
          </w:tcPr>
          <w:p w14:paraId="6DD23222" w14:textId="77777777" w:rsidR="00670C79" w:rsidRPr="001E20A3" w:rsidRDefault="00670C79" w:rsidP="006A2E4E">
            <w:pPr>
              <w:tabs>
                <w:tab w:val="left" w:pos="90"/>
              </w:tabs>
              <w:spacing w:after="120"/>
              <w:jc w:val="both"/>
            </w:pPr>
            <w:r w:rsidRPr="001E20A3">
              <w:t>Proiectul de act normativ nu se referă la acest subiect.</w:t>
            </w:r>
          </w:p>
        </w:tc>
      </w:tr>
      <w:tr w:rsidR="00670C79" w:rsidRPr="00256214" w14:paraId="58700B6D" w14:textId="77777777" w:rsidTr="00A65D25">
        <w:tc>
          <w:tcPr>
            <w:tcW w:w="2684" w:type="dxa"/>
          </w:tcPr>
          <w:p w14:paraId="566BFC70" w14:textId="77777777" w:rsidR="00670C79" w:rsidRPr="001E20A3" w:rsidRDefault="00670C79" w:rsidP="006A2E4E">
            <w:pPr>
              <w:tabs>
                <w:tab w:val="left" w:pos="90"/>
              </w:tabs>
              <w:spacing w:after="120"/>
            </w:pPr>
            <w:r w:rsidRPr="001E20A3">
              <w:lastRenderedPageBreak/>
              <w:t>3. Implicaţii sociale</w:t>
            </w:r>
          </w:p>
        </w:tc>
        <w:tc>
          <w:tcPr>
            <w:tcW w:w="7556" w:type="dxa"/>
            <w:vAlign w:val="center"/>
          </w:tcPr>
          <w:p w14:paraId="07C04622" w14:textId="77777777" w:rsidR="00670C79" w:rsidRPr="001E20A3" w:rsidRDefault="00670C79" w:rsidP="006A2E4E">
            <w:pPr>
              <w:tabs>
                <w:tab w:val="left" w:pos="90"/>
              </w:tabs>
              <w:spacing w:after="120"/>
              <w:jc w:val="both"/>
            </w:pPr>
            <w:r w:rsidRPr="001E20A3">
              <w:t>Proiectul de act normativ nu se referă la acest subiect.</w:t>
            </w:r>
          </w:p>
          <w:p w14:paraId="764F39F9" w14:textId="77777777" w:rsidR="00670C79" w:rsidRPr="001E20A3" w:rsidRDefault="00670C79" w:rsidP="006A2E4E">
            <w:pPr>
              <w:tabs>
                <w:tab w:val="left" w:pos="90"/>
              </w:tabs>
              <w:spacing w:after="120"/>
              <w:jc w:val="both"/>
            </w:pPr>
          </w:p>
        </w:tc>
      </w:tr>
      <w:tr w:rsidR="00670C79" w:rsidRPr="00256214" w14:paraId="29087F84" w14:textId="77777777" w:rsidTr="00A65D25">
        <w:tc>
          <w:tcPr>
            <w:tcW w:w="2684" w:type="dxa"/>
          </w:tcPr>
          <w:p w14:paraId="5D734C1B" w14:textId="77777777" w:rsidR="00670C79" w:rsidRPr="001E20A3" w:rsidRDefault="00670C79" w:rsidP="006A2E4E">
            <w:pPr>
              <w:tabs>
                <w:tab w:val="left" w:pos="90"/>
              </w:tabs>
              <w:spacing w:after="120"/>
            </w:pPr>
            <w:r w:rsidRPr="001E20A3">
              <w:t>4. Impact asupra mediului</w:t>
            </w:r>
          </w:p>
        </w:tc>
        <w:tc>
          <w:tcPr>
            <w:tcW w:w="7556" w:type="dxa"/>
            <w:vAlign w:val="center"/>
          </w:tcPr>
          <w:p w14:paraId="2B3B9D26" w14:textId="77777777" w:rsidR="00670C79" w:rsidRPr="001E20A3" w:rsidRDefault="00670C79" w:rsidP="006A2E4E">
            <w:pPr>
              <w:tabs>
                <w:tab w:val="left" w:pos="90"/>
              </w:tabs>
              <w:spacing w:after="120"/>
              <w:jc w:val="both"/>
            </w:pPr>
            <w:r w:rsidRPr="001E20A3">
              <w:t>Proiectul de act normativ nu se referă la acest subiect.</w:t>
            </w:r>
          </w:p>
        </w:tc>
      </w:tr>
      <w:tr w:rsidR="00670C79" w:rsidRPr="00256214" w14:paraId="7567B1A4" w14:textId="77777777" w:rsidTr="00A65D25">
        <w:tc>
          <w:tcPr>
            <w:tcW w:w="2684" w:type="dxa"/>
          </w:tcPr>
          <w:p w14:paraId="4610B415" w14:textId="77777777" w:rsidR="00670C79" w:rsidRPr="001E20A3" w:rsidRDefault="00670C79" w:rsidP="006A2E4E">
            <w:pPr>
              <w:tabs>
                <w:tab w:val="left" w:pos="90"/>
              </w:tabs>
              <w:spacing w:after="120"/>
            </w:pPr>
            <w:r w:rsidRPr="001E20A3">
              <w:t>5. Alte informaţii</w:t>
            </w:r>
          </w:p>
        </w:tc>
        <w:tc>
          <w:tcPr>
            <w:tcW w:w="7556" w:type="dxa"/>
            <w:vAlign w:val="center"/>
          </w:tcPr>
          <w:p w14:paraId="09D96E43" w14:textId="77777777" w:rsidR="00670C79" w:rsidRPr="001E20A3" w:rsidRDefault="00670C79" w:rsidP="006A2E4E">
            <w:pPr>
              <w:tabs>
                <w:tab w:val="left" w:pos="90"/>
              </w:tabs>
              <w:spacing w:after="120"/>
              <w:jc w:val="both"/>
            </w:pPr>
            <w:r w:rsidRPr="001E20A3">
              <w:t>Nu au fost identificate.</w:t>
            </w:r>
          </w:p>
        </w:tc>
      </w:tr>
    </w:tbl>
    <w:p w14:paraId="2616CE5A" w14:textId="77777777" w:rsidR="00670C79" w:rsidRPr="001E20A3" w:rsidRDefault="00670C79" w:rsidP="006A2E4E">
      <w:pPr>
        <w:tabs>
          <w:tab w:val="left" w:pos="90"/>
        </w:tabs>
        <w:spacing w:after="120"/>
        <w:jc w:val="both"/>
        <w:rPr>
          <w:b/>
        </w:rPr>
      </w:pPr>
      <w:r w:rsidRPr="001E20A3">
        <w:rPr>
          <w:b/>
        </w:rPr>
        <w:t>Secţiunea a 4-a. Impactul financiar asupra bugetului de stat consolidat, atât pe termen scurt, pentru 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1079"/>
        <w:gridCol w:w="898"/>
        <w:gridCol w:w="1077"/>
        <w:gridCol w:w="1077"/>
        <w:gridCol w:w="1256"/>
        <w:gridCol w:w="1977"/>
      </w:tblGrid>
      <w:tr w:rsidR="00670C79" w:rsidRPr="00256214" w14:paraId="71E97A8B" w14:textId="77777777" w:rsidTr="00A65D25">
        <w:tc>
          <w:tcPr>
            <w:tcW w:w="2880" w:type="dxa"/>
          </w:tcPr>
          <w:p w14:paraId="53F70A37" w14:textId="77777777" w:rsidR="00670C79" w:rsidRPr="001E20A3" w:rsidRDefault="00670C79" w:rsidP="006A2E4E">
            <w:pPr>
              <w:pStyle w:val="Heading2"/>
              <w:tabs>
                <w:tab w:val="left" w:pos="90"/>
              </w:tabs>
              <w:rPr>
                <w:sz w:val="24"/>
              </w:rPr>
            </w:pPr>
            <w:r w:rsidRPr="001E20A3">
              <w:rPr>
                <w:sz w:val="24"/>
              </w:rPr>
              <w:t>Indicatori</w:t>
            </w:r>
          </w:p>
        </w:tc>
        <w:tc>
          <w:tcPr>
            <w:tcW w:w="1080" w:type="dxa"/>
          </w:tcPr>
          <w:p w14:paraId="474FD0AC" w14:textId="77777777" w:rsidR="00670C79" w:rsidRPr="001E20A3" w:rsidRDefault="00670C79" w:rsidP="006A2E4E">
            <w:pPr>
              <w:tabs>
                <w:tab w:val="left" w:pos="90"/>
              </w:tabs>
              <w:jc w:val="center"/>
            </w:pPr>
            <w:r w:rsidRPr="001E20A3">
              <w:t>An curent</w:t>
            </w:r>
          </w:p>
        </w:tc>
        <w:tc>
          <w:tcPr>
            <w:tcW w:w="4320" w:type="dxa"/>
            <w:gridSpan w:val="4"/>
          </w:tcPr>
          <w:p w14:paraId="5C053784" w14:textId="77777777" w:rsidR="00670C79" w:rsidRPr="001E20A3" w:rsidRDefault="00670C79" w:rsidP="006A2E4E">
            <w:pPr>
              <w:tabs>
                <w:tab w:val="left" w:pos="90"/>
              </w:tabs>
              <w:jc w:val="center"/>
            </w:pPr>
            <w:r w:rsidRPr="001E20A3">
              <w:t>Următorii 4 ani</w:t>
            </w:r>
          </w:p>
        </w:tc>
        <w:tc>
          <w:tcPr>
            <w:tcW w:w="1980" w:type="dxa"/>
          </w:tcPr>
          <w:p w14:paraId="4F2FA569" w14:textId="77777777" w:rsidR="00670C79" w:rsidRPr="001E20A3" w:rsidRDefault="00670C79" w:rsidP="006A2E4E">
            <w:pPr>
              <w:tabs>
                <w:tab w:val="left" w:pos="90"/>
              </w:tabs>
              <w:jc w:val="center"/>
            </w:pPr>
            <w:r w:rsidRPr="001E20A3">
              <w:t>Media următorilor 5 ani, după anul curent</w:t>
            </w:r>
          </w:p>
        </w:tc>
      </w:tr>
      <w:tr w:rsidR="00670C79" w:rsidRPr="00256214" w14:paraId="447896AC" w14:textId="77777777" w:rsidTr="00A65D25">
        <w:tc>
          <w:tcPr>
            <w:tcW w:w="2880" w:type="dxa"/>
          </w:tcPr>
          <w:p w14:paraId="250F18B0" w14:textId="77777777" w:rsidR="00670C79" w:rsidRPr="001E20A3" w:rsidRDefault="00670C79" w:rsidP="006A2E4E">
            <w:pPr>
              <w:tabs>
                <w:tab w:val="left" w:pos="90"/>
              </w:tabs>
              <w:spacing w:after="120"/>
              <w:jc w:val="center"/>
            </w:pPr>
            <w:r w:rsidRPr="001E20A3">
              <w:t>1</w:t>
            </w:r>
          </w:p>
        </w:tc>
        <w:tc>
          <w:tcPr>
            <w:tcW w:w="1080" w:type="dxa"/>
            <w:vAlign w:val="center"/>
          </w:tcPr>
          <w:p w14:paraId="4F32EAE2" w14:textId="77777777" w:rsidR="00670C79" w:rsidRPr="001E20A3" w:rsidRDefault="00670C79" w:rsidP="006A2E4E">
            <w:pPr>
              <w:tabs>
                <w:tab w:val="left" w:pos="90"/>
              </w:tabs>
              <w:spacing w:after="120"/>
              <w:jc w:val="center"/>
            </w:pPr>
            <w:r w:rsidRPr="001E20A3">
              <w:t>2</w:t>
            </w:r>
          </w:p>
        </w:tc>
        <w:tc>
          <w:tcPr>
            <w:tcW w:w="900" w:type="dxa"/>
            <w:vAlign w:val="center"/>
          </w:tcPr>
          <w:p w14:paraId="6F69BCDC" w14:textId="77777777" w:rsidR="00670C79" w:rsidRPr="001E20A3" w:rsidRDefault="00670C79" w:rsidP="006A2E4E">
            <w:pPr>
              <w:tabs>
                <w:tab w:val="left" w:pos="90"/>
              </w:tabs>
              <w:spacing w:after="120"/>
              <w:jc w:val="center"/>
            </w:pPr>
            <w:r w:rsidRPr="001E20A3">
              <w:t>3</w:t>
            </w:r>
          </w:p>
        </w:tc>
        <w:tc>
          <w:tcPr>
            <w:tcW w:w="1080" w:type="dxa"/>
            <w:vAlign w:val="center"/>
          </w:tcPr>
          <w:p w14:paraId="467F3F2E" w14:textId="77777777" w:rsidR="00670C79" w:rsidRPr="001E20A3" w:rsidRDefault="00670C79" w:rsidP="006A2E4E">
            <w:pPr>
              <w:tabs>
                <w:tab w:val="left" w:pos="90"/>
              </w:tabs>
              <w:spacing w:after="120"/>
              <w:jc w:val="center"/>
            </w:pPr>
            <w:r w:rsidRPr="001E20A3">
              <w:t>4</w:t>
            </w:r>
          </w:p>
        </w:tc>
        <w:tc>
          <w:tcPr>
            <w:tcW w:w="1080" w:type="dxa"/>
            <w:vAlign w:val="center"/>
          </w:tcPr>
          <w:p w14:paraId="1AA799E9" w14:textId="77777777" w:rsidR="00670C79" w:rsidRPr="001E20A3" w:rsidRDefault="00670C79" w:rsidP="006A2E4E">
            <w:pPr>
              <w:tabs>
                <w:tab w:val="left" w:pos="90"/>
              </w:tabs>
              <w:spacing w:after="120"/>
              <w:jc w:val="center"/>
            </w:pPr>
            <w:r w:rsidRPr="001E20A3">
              <w:t>5</w:t>
            </w:r>
          </w:p>
        </w:tc>
        <w:tc>
          <w:tcPr>
            <w:tcW w:w="1260" w:type="dxa"/>
            <w:vAlign w:val="center"/>
          </w:tcPr>
          <w:p w14:paraId="2AC83D16" w14:textId="77777777" w:rsidR="00670C79" w:rsidRPr="001E20A3" w:rsidRDefault="00670C79" w:rsidP="006A2E4E">
            <w:pPr>
              <w:tabs>
                <w:tab w:val="left" w:pos="90"/>
              </w:tabs>
              <w:spacing w:after="120"/>
              <w:jc w:val="center"/>
            </w:pPr>
            <w:r w:rsidRPr="001E20A3">
              <w:t>6</w:t>
            </w:r>
          </w:p>
        </w:tc>
        <w:tc>
          <w:tcPr>
            <w:tcW w:w="1980" w:type="dxa"/>
            <w:vAlign w:val="center"/>
          </w:tcPr>
          <w:p w14:paraId="5EDC4CBB" w14:textId="77777777" w:rsidR="00670C79" w:rsidRPr="001E20A3" w:rsidRDefault="00670C79" w:rsidP="006A2E4E">
            <w:pPr>
              <w:tabs>
                <w:tab w:val="left" w:pos="90"/>
              </w:tabs>
              <w:spacing w:after="120"/>
              <w:jc w:val="center"/>
            </w:pPr>
            <w:r w:rsidRPr="001E20A3">
              <w:t>7</w:t>
            </w:r>
          </w:p>
        </w:tc>
      </w:tr>
      <w:tr w:rsidR="00670C79" w:rsidRPr="00256214" w14:paraId="2921D6B9" w14:textId="77777777" w:rsidTr="00A65D25">
        <w:tc>
          <w:tcPr>
            <w:tcW w:w="2880" w:type="dxa"/>
          </w:tcPr>
          <w:p w14:paraId="61391E2C" w14:textId="77777777" w:rsidR="00670C79" w:rsidRPr="001E20A3" w:rsidRDefault="00670C79" w:rsidP="006A2E4E">
            <w:pPr>
              <w:tabs>
                <w:tab w:val="left" w:pos="90"/>
              </w:tabs>
            </w:pPr>
            <w:r w:rsidRPr="001E20A3">
              <w:t>1.Modificări ale veniturilor bugetare, plus/minus, din care:</w:t>
            </w:r>
          </w:p>
          <w:p w14:paraId="67476815" w14:textId="77777777" w:rsidR="00670C79" w:rsidRPr="001E20A3" w:rsidRDefault="00670C79" w:rsidP="006A2E4E">
            <w:pPr>
              <w:tabs>
                <w:tab w:val="left" w:pos="90"/>
              </w:tabs>
            </w:pPr>
            <w:r w:rsidRPr="001E20A3">
              <w:t>a)bugetul de stat, din acesta:</w:t>
            </w:r>
          </w:p>
          <w:p w14:paraId="3970CF43" w14:textId="77777777" w:rsidR="00670C79" w:rsidRPr="001E20A3" w:rsidRDefault="00670C79" w:rsidP="006A2E4E">
            <w:pPr>
              <w:tabs>
                <w:tab w:val="left" w:pos="90"/>
              </w:tabs>
            </w:pPr>
            <w:r w:rsidRPr="001E20A3">
              <w:t>-impozit pe profit</w:t>
            </w:r>
          </w:p>
          <w:p w14:paraId="37CC0AD1" w14:textId="77777777" w:rsidR="00670C79" w:rsidRPr="001E20A3" w:rsidRDefault="00670C79" w:rsidP="006A2E4E">
            <w:pPr>
              <w:tabs>
                <w:tab w:val="left" w:pos="90"/>
              </w:tabs>
            </w:pPr>
            <w:r w:rsidRPr="001E20A3">
              <w:t>-impozit pe venit</w:t>
            </w:r>
          </w:p>
          <w:p w14:paraId="29C7C6B9" w14:textId="77777777" w:rsidR="00670C79" w:rsidRPr="001E20A3" w:rsidRDefault="00670C79" w:rsidP="006A2E4E">
            <w:pPr>
              <w:tabs>
                <w:tab w:val="left" w:pos="90"/>
              </w:tabs>
            </w:pPr>
            <w:r w:rsidRPr="001E20A3">
              <w:t>b)bugete locale:</w:t>
            </w:r>
          </w:p>
          <w:p w14:paraId="701F7607" w14:textId="77777777" w:rsidR="00670C79" w:rsidRPr="001E20A3" w:rsidRDefault="00670C79" w:rsidP="006A2E4E">
            <w:pPr>
              <w:tabs>
                <w:tab w:val="left" w:pos="90"/>
              </w:tabs>
            </w:pPr>
            <w:r w:rsidRPr="001E20A3">
              <w:t>-impozit pe profit</w:t>
            </w:r>
          </w:p>
          <w:p w14:paraId="01FFEE0C" w14:textId="77777777" w:rsidR="00670C79" w:rsidRPr="001E20A3" w:rsidRDefault="00670C79" w:rsidP="006A2E4E">
            <w:pPr>
              <w:tabs>
                <w:tab w:val="left" w:pos="90"/>
              </w:tabs>
            </w:pPr>
            <w:r w:rsidRPr="001E20A3">
              <w:t>c)bugetul asigurărilor sociale</w:t>
            </w:r>
          </w:p>
          <w:p w14:paraId="525BED71" w14:textId="77777777" w:rsidR="00670C79" w:rsidRPr="001E20A3" w:rsidRDefault="00670C79" w:rsidP="006A2E4E">
            <w:pPr>
              <w:tabs>
                <w:tab w:val="left" w:pos="90"/>
              </w:tabs>
            </w:pPr>
            <w:r w:rsidRPr="001E20A3">
              <w:t>-contribuţii de asigurări</w:t>
            </w:r>
          </w:p>
        </w:tc>
        <w:tc>
          <w:tcPr>
            <w:tcW w:w="1080" w:type="dxa"/>
          </w:tcPr>
          <w:p w14:paraId="2BB0F2E7" w14:textId="77777777" w:rsidR="00670C79" w:rsidRPr="001E20A3" w:rsidRDefault="00670C79" w:rsidP="006A2E4E">
            <w:pPr>
              <w:pStyle w:val="BodyText2"/>
              <w:tabs>
                <w:tab w:val="left" w:pos="90"/>
              </w:tabs>
              <w:rPr>
                <w:sz w:val="24"/>
              </w:rPr>
            </w:pPr>
          </w:p>
        </w:tc>
        <w:tc>
          <w:tcPr>
            <w:tcW w:w="900" w:type="dxa"/>
          </w:tcPr>
          <w:p w14:paraId="3E635325" w14:textId="77777777" w:rsidR="00670C79" w:rsidRPr="001E20A3" w:rsidRDefault="00670C79" w:rsidP="006A2E4E">
            <w:pPr>
              <w:pStyle w:val="BodyText2"/>
              <w:tabs>
                <w:tab w:val="left" w:pos="90"/>
              </w:tabs>
              <w:rPr>
                <w:sz w:val="24"/>
              </w:rPr>
            </w:pPr>
          </w:p>
        </w:tc>
        <w:tc>
          <w:tcPr>
            <w:tcW w:w="1080" w:type="dxa"/>
          </w:tcPr>
          <w:p w14:paraId="03799A5F" w14:textId="77777777" w:rsidR="00670C79" w:rsidRPr="001E20A3" w:rsidRDefault="00670C79" w:rsidP="006A2E4E">
            <w:pPr>
              <w:pStyle w:val="BodyText2"/>
              <w:tabs>
                <w:tab w:val="left" w:pos="90"/>
              </w:tabs>
              <w:rPr>
                <w:sz w:val="24"/>
              </w:rPr>
            </w:pPr>
          </w:p>
        </w:tc>
        <w:tc>
          <w:tcPr>
            <w:tcW w:w="1080" w:type="dxa"/>
          </w:tcPr>
          <w:p w14:paraId="6B23DF83" w14:textId="77777777" w:rsidR="00670C79" w:rsidRPr="001E20A3" w:rsidRDefault="00670C79" w:rsidP="006A2E4E">
            <w:pPr>
              <w:pStyle w:val="BodyText2"/>
              <w:tabs>
                <w:tab w:val="left" w:pos="90"/>
              </w:tabs>
              <w:rPr>
                <w:sz w:val="24"/>
              </w:rPr>
            </w:pPr>
          </w:p>
        </w:tc>
        <w:tc>
          <w:tcPr>
            <w:tcW w:w="1260" w:type="dxa"/>
          </w:tcPr>
          <w:p w14:paraId="5A429CD9" w14:textId="77777777" w:rsidR="00670C79" w:rsidRPr="001E20A3" w:rsidRDefault="00670C79" w:rsidP="006A2E4E">
            <w:pPr>
              <w:pStyle w:val="BodyText2"/>
              <w:tabs>
                <w:tab w:val="left" w:pos="90"/>
              </w:tabs>
              <w:rPr>
                <w:sz w:val="24"/>
              </w:rPr>
            </w:pPr>
          </w:p>
        </w:tc>
        <w:tc>
          <w:tcPr>
            <w:tcW w:w="1980" w:type="dxa"/>
          </w:tcPr>
          <w:p w14:paraId="48881F34" w14:textId="77777777" w:rsidR="00670C79" w:rsidRPr="001E20A3" w:rsidRDefault="00670C79" w:rsidP="006A2E4E">
            <w:pPr>
              <w:pStyle w:val="BodyText2"/>
              <w:tabs>
                <w:tab w:val="left" w:pos="90"/>
              </w:tabs>
              <w:rPr>
                <w:sz w:val="24"/>
              </w:rPr>
            </w:pPr>
          </w:p>
        </w:tc>
      </w:tr>
      <w:tr w:rsidR="00670C79" w:rsidRPr="00256214" w14:paraId="02E98D85" w14:textId="77777777" w:rsidTr="00A65D25">
        <w:tc>
          <w:tcPr>
            <w:tcW w:w="2880" w:type="dxa"/>
          </w:tcPr>
          <w:p w14:paraId="12373FF7" w14:textId="77777777" w:rsidR="00670C79" w:rsidRPr="001E20A3" w:rsidRDefault="00670C79" w:rsidP="006A2E4E">
            <w:pPr>
              <w:tabs>
                <w:tab w:val="left" w:pos="90"/>
              </w:tabs>
            </w:pPr>
            <w:r w:rsidRPr="001E20A3">
              <w:t>2.Modificări ale cheltuielilor bugetare din care:</w:t>
            </w:r>
          </w:p>
          <w:p w14:paraId="6C9DA884" w14:textId="77777777" w:rsidR="00670C79" w:rsidRPr="001E20A3" w:rsidRDefault="00670C79" w:rsidP="006A2E4E">
            <w:pPr>
              <w:tabs>
                <w:tab w:val="left" w:pos="90"/>
              </w:tabs>
            </w:pPr>
            <w:r w:rsidRPr="001E20A3">
              <w:t>a)bugetul de stat, din acesta:</w:t>
            </w:r>
          </w:p>
          <w:p w14:paraId="7756BC39" w14:textId="77777777" w:rsidR="00670C79" w:rsidRPr="001E20A3" w:rsidRDefault="00670C79" w:rsidP="006A2E4E">
            <w:pPr>
              <w:tabs>
                <w:tab w:val="left" w:pos="90"/>
              </w:tabs>
            </w:pPr>
            <w:r w:rsidRPr="001E20A3">
              <w:t>-cheltuieli de personal</w:t>
            </w:r>
          </w:p>
          <w:p w14:paraId="557FC2AD" w14:textId="77777777" w:rsidR="00670C79" w:rsidRPr="001E20A3" w:rsidRDefault="00670C79" w:rsidP="006A2E4E">
            <w:pPr>
              <w:tabs>
                <w:tab w:val="left" w:pos="90"/>
              </w:tabs>
            </w:pPr>
            <w:r w:rsidRPr="001E20A3">
              <w:t>-bunuri şi servicii</w:t>
            </w:r>
          </w:p>
          <w:p w14:paraId="215C5D50" w14:textId="77777777" w:rsidR="00670C79" w:rsidRPr="001E20A3" w:rsidRDefault="00670C79" w:rsidP="006A2E4E">
            <w:pPr>
              <w:tabs>
                <w:tab w:val="left" w:pos="90"/>
              </w:tabs>
            </w:pPr>
            <w:r w:rsidRPr="001E20A3">
              <w:t>b)bugete locale:</w:t>
            </w:r>
          </w:p>
          <w:p w14:paraId="6F748034" w14:textId="77777777" w:rsidR="00670C79" w:rsidRPr="001E20A3" w:rsidRDefault="00670C79" w:rsidP="006A2E4E">
            <w:pPr>
              <w:tabs>
                <w:tab w:val="left" w:pos="90"/>
              </w:tabs>
            </w:pPr>
            <w:r w:rsidRPr="001E20A3">
              <w:t>-cheltuieli de personal</w:t>
            </w:r>
          </w:p>
          <w:p w14:paraId="6367494B" w14:textId="77777777" w:rsidR="00670C79" w:rsidRPr="001E20A3" w:rsidRDefault="00670C79" w:rsidP="006A2E4E">
            <w:pPr>
              <w:tabs>
                <w:tab w:val="left" w:pos="90"/>
              </w:tabs>
            </w:pPr>
            <w:r w:rsidRPr="001E20A3">
              <w:t>-bunuri şi servicii</w:t>
            </w:r>
          </w:p>
          <w:p w14:paraId="0C73AC93" w14:textId="77777777" w:rsidR="00670C79" w:rsidRPr="001E20A3" w:rsidRDefault="00670C79" w:rsidP="006A2E4E">
            <w:pPr>
              <w:tabs>
                <w:tab w:val="left" w:pos="90"/>
              </w:tabs>
            </w:pPr>
            <w:r w:rsidRPr="001E20A3">
              <w:t>c)bugetul asigurărilor sociale</w:t>
            </w:r>
          </w:p>
          <w:p w14:paraId="4CB02D36" w14:textId="77777777" w:rsidR="00670C79" w:rsidRPr="001E20A3" w:rsidRDefault="00670C79" w:rsidP="006A2E4E">
            <w:pPr>
              <w:tabs>
                <w:tab w:val="left" w:pos="90"/>
              </w:tabs>
            </w:pPr>
            <w:r w:rsidRPr="001E20A3">
              <w:t>-cheltuieli de personal</w:t>
            </w:r>
          </w:p>
          <w:p w14:paraId="1DC35818" w14:textId="77777777" w:rsidR="00670C79" w:rsidRPr="001E20A3" w:rsidRDefault="00670C79" w:rsidP="006A2E4E">
            <w:pPr>
              <w:tabs>
                <w:tab w:val="left" w:pos="90"/>
              </w:tabs>
            </w:pPr>
            <w:r w:rsidRPr="001E20A3">
              <w:t>-bunuri şi servicii</w:t>
            </w:r>
          </w:p>
        </w:tc>
        <w:tc>
          <w:tcPr>
            <w:tcW w:w="1080" w:type="dxa"/>
          </w:tcPr>
          <w:p w14:paraId="6A1764A3" w14:textId="77777777" w:rsidR="00670C79" w:rsidRPr="001E20A3" w:rsidRDefault="00670C79" w:rsidP="006A2E4E">
            <w:pPr>
              <w:tabs>
                <w:tab w:val="left" w:pos="90"/>
              </w:tabs>
              <w:jc w:val="both"/>
            </w:pPr>
          </w:p>
          <w:p w14:paraId="1E7CABD7" w14:textId="77777777" w:rsidR="00670C79" w:rsidRPr="001E20A3" w:rsidRDefault="00670C79" w:rsidP="006A2E4E">
            <w:pPr>
              <w:tabs>
                <w:tab w:val="left" w:pos="90"/>
              </w:tabs>
              <w:jc w:val="both"/>
            </w:pPr>
          </w:p>
        </w:tc>
        <w:tc>
          <w:tcPr>
            <w:tcW w:w="900" w:type="dxa"/>
          </w:tcPr>
          <w:p w14:paraId="2FD91CCA" w14:textId="77777777" w:rsidR="00670C79" w:rsidRPr="001E20A3" w:rsidRDefault="00670C79" w:rsidP="006A2E4E">
            <w:pPr>
              <w:tabs>
                <w:tab w:val="left" w:pos="90"/>
              </w:tabs>
            </w:pPr>
          </w:p>
          <w:p w14:paraId="37324860" w14:textId="77777777" w:rsidR="00670C79" w:rsidRPr="001E20A3" w:rsidRDefault="00670C79" w:rsidP="006A2E4E">
            <w:pPr>
              <w:tabs>
                <w:tab w:val="left" w:pos="90"/>
              </w:tabs>
            </w:pPr>
          </w:p>
        </w:tc>
        <w:tc>
          <w:tcPr>
            <w:tcW w:w="1080" w:type="dxa"/>
          </w:tcPr>
          <w:p w14:paraId="1F0F604C" w14:textId="77777777" w:rsidR="00670C79" w:rsidRPr="001E20A3" w:rsidRDefault="00670C79" w:rsidP="006A2E4E">
            <w:pPr>
              <w:tabs>
                <w:tab w:val="left" w:pos="90"/>
              </w:tabs>
            </w:pPr>
          </w:p>
          <w:p w14:paraId="2BEDF9C9" w14:textId="77777777" w:rsidR="00670C79" w:rsidRPr="001E20A3" w:rsidRDefault="00670C79" w:rsidP="006A2E4E">
            <w:pPr>
              <w:tabs>
                <w:tab w:val="left" w:pos="90"/>
              </w:tabs>
            </w:pPr>
            <w:r w:rsidRPr="001E20A3">
              <w:t xml:space="preserve"> </w:t>
            </w:r>
          </w:p>
        </w:tc>
        <w:tc>
          <w:tcPr>
            <w:tcW w:w="1080" w:type="dxa"/>
          </w:tcPr>
          <w:p w14:paraId="63945402" w14:textId="77777777" w:rsidR="00670C79" w:rsidRPr="001E20A3" w:rsidRDefault="00670C79" w:rsidP="006A2E4E">
            <w:pPr>
              <w:tabs>
                <w:tab w:val="left" w:pos="90"/>
              </w:tabs>
            </w:pPr>
          </w:p>
          <w:p w14:paraId="4C67AF36" w14:textId="77777777" w:rsidR="00670C79" w:rsidRPr="001E20A3" w:rsidRDefault="00670C79" w:rsidP="006A2E4E">
            <w:pPr>
              <w:tabs>
                <w:tab w:val="left" w:pos="90"/>
              </w:tabs>
            </w:pPr>
          </w:p>
        </w:tc>
        <w:tc>
          <w:tcPr>
            <w:tcW w:w="1260" w:type="dxa"/>
          </w:tcPr>
          <w:p w14:paraId="40B98654" w14:textId="77777777" w:rsidR="00670C79" w:rsidRPr="001E20A3" w:rsidRDefault="00670C79" w:rsidP="006A2E4E">
            <w:pPr>
              <w:tabs>
                <w:tab w:val="left" w:pos="90"/>
              </w:tabs>
            </w:pPr>
          </w:p>
          <w:p w14:paraId="28632AF2" w14:textId="77777777" w:rsidR="00670C79" w:rsidRPr="001E20A3" w:rsidRDefault="00670C79" w:rsidP="006A2E4E">
            <w:pPr>
              <w:tabs>
                <w:tab w:val="left" w:pos="90"/>
              </w:tabs>
            </w:pPr>
          </w:p>
        </w:tc>
        <w:tc>
          <w:tcPr>
            <w:tcW w:w="1980" w:type="dxa"/>
          </w:tcPr>
          <w:p w14:paraId="7F734500" w14:textId="77777777" w:rsidR="00670C79" w:rsidRPr="001E20A3" w:rsidRDefault="00670C79" w:rsidP="006A2E4E">
            <w:pPr>
              <w:tabs>
                <w:tab w:val="left" w:pos="90"/>
              </w:tabs>
            </w:pPr>
          </w:p>
          <w:p w14:paraId="042B0EF5" w14:textId="77777777" w:rsidR="00670C79" w:rsidRPr="001E20A3" w:rsidRDefault="00670C79" w:rsidP="006A2E4E">
            <w:pPr>
              <w:tabs>
                <w:tab w:val="left" w:pos="90"/>
              </w:tabs>
            </w:pPr>
          </w:p>
        </w:tc>
      </w:tr>
      <w:tr w:rsidR="00670C79" w:rsidRPr="00256214" w14:paraId="0C6EB109" w14:textId="77777777" w:rsidTr="00A65D25">
        <w:tc>
          <w:tcPr>
            <w:tcW w:w="2880" w:type="dxa"/>
          </w:tcPr>
          <w:p w14:paraId="54E6E9DA" w14:textId="77777777" w:rsidR="00670C79" w:rsidRPr="001E20A3" w:rsidRDefault="00670C79" w:rsidP="006A2E4E">
            <w:pPr>
              <w:tabs>
                <w:tab w:val="left" w:pos="90"/>
              </w:tabs>
              <w:spacing w:after="60"/>
            </w:pPr>
            <w:r w:rsidRPr="001E20A3">
              <w:t>3.Impact financiar, plus/minus, din care:</w:t>
            </w:r>
          </w:p>
          <w:p w14:paraId="39A6356D" w14:textId="77777777" w:rsidR="00670C79" w:rsidRPr="001E20A3" w:rsidRDefault="00670C79" w:rsidP="006A2E4E">
            <w:pPr>
              <w:tabs>
                <w:tab w:val="left" w:pos="90"/>
              </w:tabs>
              <w:spacing w:after="60"/>
            </w:pPr>
            <w:r w:rsidRPr="001E20A3">
              <w:t>a) buget de stat</w:t>
            </w:r>
          </w:p>
          <w:p w14:paraId="385C704A" w14:textId="77777777" w:rsidR="00670C79" w:rsidRPr="001E20A3" w:rsidRDefault="00670C79" w:rsidP="006A2E4E">
            <w:pPr>
              <w:tabs>
                <w:tab w:val="left" w:pos="90"/>
              </w:tabs>
              <w:spacing w:after="60"/>
            </w:pPr>
            <w:r w:rsidRPr="001E20A3">
              <w:t>b)bugete locale</w:t>
            </w:r>
          </w:p>
        </w:tc>
        <w:tc>
          <w:tcPr>
            <w:tcW w:w="7380" w:type="dxa"/>
            <w:gridSpan w:val="6"/>
            <w:vAlign w:val="center"/>
          </w:tcPr>
          <w:p w14:paraId="4D4C8A9E" w14:textId="77777777" w:rsidR="00670C79" w:rsidRPr="001E20A3" w:rsidRDefault="00670C79" w:rsidP="006A2E4E">
            <w:pPr>
              <w:tabs>
                <w:tab w:val="left" w:pos="90"/>
              </w:tabs>
              <w:spacing w:after="60"/>
            </w:pPr>
            <w:r w:rsidRPr="001E20A3">
              <w:rPr>
                <w:noProof/>
              </w:rPr>
              <w:t>Proiectul de act normativ nu se referă la acest subiect.</w:t>
            </w:r>
          </w:p>
        </w:tc>
      </w:tr>
      <w:tr w:rsidR="00670C79" w:rsidRPr="00256214" w14:paraId="7C3B82DF" w14:textId="77777777" w:rsidTr="00A65D25">
        <w:tc>
          <w:tcPr>
            <w:tcW w:w="2880" w:type="dxa"/>
          </w:tcPr>
          <w:p w14:paraId="0D8A4D63" w14:textId="77777777" w:rsidR="00670C79" w:rsidRPr="001E20A3" w:rsidRDefault="00670C79" w:rsidP="006A2E4E">
            <w:pPr>
              <w:tabs>
                <w:tab w:val="left" w:pos="90"/>
              </w:tabs>
              <w:spacing w:after="60"/>
            </w:pPr>
            <w:r w:rsidRPr="001E20A3">
              <w:t xml:space="preserve">4. Propuneri pentru </w:t>
            </w:r>
          </w:p>
          <w:p w14:paraId="0DC77B67" w14:textId="77777777" w:rsidR="00670C79" w:rsidRPr="001E20A3" w:rsidRDefault="00670C79" w:rsidP="006A2E4E">
            <w:pPr>
              <w:tabs>
                <w:tab w:val="left" w:pos="90"/>
              </w:tabs>
              <w:spacing w:after="60"/>
            </w:pPr>
            <w:r w:rsidRPr="001E20A3">
              <w:t>acoperirea creşterilor de cheltuieli</w:t>
            </w:r>
          </w:p>
        </w:tc>
        <w:tc>
          <w:tcPr>
            <w:tcW w:w="7380" w:type="dxa"/>
            <w:gridSpan w:val="6"/>
            <w:vAlign w:val="center"/>
          </w:tcPr>
          <w:p w14:paraId="38D5C6E1" w14:textId="77777777" w:rsidR="00670C79" w:rsidRPr="001E20A3" w:rsidRDefault="00670C79" w:rsidP="006A2E4E">
            <w:pPr>
              <w:tabs>
                <w:tab w:val="left" w:pos="90"/>
              </w:tabs>
              <w:spacing w:after="60"/>
              <w:rPr>
                <w:noProof/>
              </w:rPr>
            </w:pPr>
            <w:r w:rsidRPr="001E20A3">
              <w:rPr>
                <w:noProof/>
              </w:rPr>
              <w:t>Proiectul de act normativ nu se referă la acest subiect.</w:t>
            </w:r>
          </w:p>
        </w:tc>
      </w:tr>
      <w:tr w:rsidR="00670C79" w:rsidRPr="00256214" w14:paraId="6721E227" w14:textId="77777777" w:rsidTr="00A65D25">
        <w:tc>
          <w:tcPr>
            <w:tcW w:w="2880" w:type="dxa"/>
          </w:tcPr>
          <w:p w14:paraId="12189CC0" w14:textId="77777777" w:rsidR="00670C79" w:rsidRPr="001E20A3" w:rsidRDefault="00670C79" w:rsidP="006A2E4E">
            <w:pPr>
              <w:tabs>
                <w:tab w:val="left" w:pos="90"/>
              </w:tabs>
              <w:spacing w:after="60"/>
            </w:pPr>
            <w:r w:rsidRPr="001E20A3">
              <w:lastRenderedPageBreak/>
              <w:t>5. Propuneri pentru acoperirea scăderilor  de venituri</w:t>
            </w:r>
          </w:p>
        </w:tc>
        <w:tc>
          <w:tcPr>
            <w:tcW w:w="7380" w:type="dxa"/>
            <w:gridSpan w:val="6"/>
            <w:vAlign w:val="center"/>
          </w:tcPr>
          <w:p w14:paraId="55422F6A" w14:textId="77777777" w:rsidR="00670C79" w:rsidRPr="001E20A3" w:rsidRDefault="00670C79" w:rsidP="006A2E4E">
            <w:pPr>
              <w:tabs>
                <w:tab w:val="left" w:pos="90"/>
              </w:tabs>
              <w:spacing w:after="60"/>
              <w:rPr>
                <w:noProof/>
              </w:rPr>
            </w:pPr>
            <w:r w:rsidRPr="001E20A3">
              <w:rPr>
                <w:noProof/>
              </w:rPr>
              <w:t>Proiectul de act normativ nu se referă la acest subiect.</w:t>
            </w:r>
          </w:p>
        </w:tc>
      </w:tr>
      <w:tr w:rsidR="00670C79" w:rsidRPr="00256214" w14:paraId="1201733C" w14:textId="77777777" w:rsidTr="00A65D25">
        <w:tc>
          <w:tcPr>
            <w:tcW w:w="2880" w:type="dxa"/>
          </w:tcPr>
          <w:p w14:paraId="19EDDA8C" w14:textId="77777777" w:rsidR="00670C79" w:rsidRPr="001E20A3" w:rsidRDefault="00670C79" w:rsidP="006A2E4E">
            <w:pPr>
              <w:tabs>
                <w:tab w:val="left" w:pos="90"/>
              </w:tabs>
              <w:spacing w:after="60"/>
            </w:pPr>
            <w:r w:rsidRPr="001E20A3">
              <w:t>6. Calcule detaliate privind fundamentarea modificărilor  veniturilor şi/sau cheltuielilor bugetare</w:t>
            </w:r>
          </w:p>
        </w:tc>
        <w:tc>
          <w:tcPr>
            <w:tcW w:w="7380" w:type="dxa"/>
            <w:gridSpan w:val="6"/>
            <w:vAlign w:val="center"/>
          </w:tcPr>
          <w:p w14:paraId="54E5E14F" w14:textId="77777777" w:rsidR="00670C79" w:rsidRPr="001E20A3" w:rsidRDefault="00670C79" w:rsidP="006A2E4E">
            <w:pPr>
              <w:tabs>
                <w:tab w:val="left" w:pos="90"/>
              </w:tabs>
              <w:spacing w:after="60"/>
              <w:rPr>
                <w:noProof/>
              </w:rPr>
            </w:pPr>
            <w:r w:rsidRPr="001E20A3">
              <w:rPr>
                <w:noProof/>
              </w:rPr>
              <w:t>Proiectul de act normativ nu se referă la acest subiect.</w:t>
            </w:r>
          </w:p>
        </w:tc>
      </w:tr>
      <w:tr w:rsidR="00670C79" w:rsidRPr="00256214" w14:paraId="092DFEB6" w14:textId="77777777" w:rsidTr="00A65D25">
        <w:tc>
          <w:tcPr>
            <w:tcW w:w="2880" w:type="dxa"/>
          </w:tcPr>
          <w:p w14:paraId="5CAE8EF9" w14:textId="77777777" w:rsidR="00670C79" w:rsidRPr="001E20A3" w:rsidRDefault="00670C79" w:rsidP="006A2E4E">
            <w:pPr>
              <w:tabs>
                <w:tab w:val="left" w:pos="90"/>
              </w:tabs>
              <w:spacing w:after="60"/>
            </w:pPr>
            <w:r w:rsidRPr="001E20A3">
              <w:t>7. Alte informaţii</w:t>
            </w:r>
          </w:p>
        </w:tc>
        <w:tc>
          <w:tcPr>
            <w:tcW w:w="7380" w:type="dxa"/>
            <w:gridSpan w:val="6"/>
          </w:tcPr>
          <w:p w14:paraId="2FAFDFEB" w14:textId="77777777" w:rsidR="00670C79" w:rsidRPr="001E20A3" w:rsidRDefault="00670C79" w:rsidP="006A2E4E">
            <w:pPr>
              <w:tabs>
                <w:tab w:val="left" w:pos="90"/>
              </w:tabs>
              <w:spacing w:after="60"/>
            </w:pPr>
            <w:r w:rsidRPr="001E20A3">
              <w:t>Nu au fost identificate.</w:t>
            </w:r>
          </w:p>
        </w:tc>
      </w:tr>
    </w:tbl>
    <w:p w14:paraId="44913268" w14:textId="77777777" w:rsidR="008E3D03" w:rsidRPr="001E20A3" w:rsidRDefault="00670C79" w:rsidP="006A2E4E">
      <w:pPr>
        <w:tabs>
          <w:tab w:val="left" w:pos="90"/>
        </w:tabs>
        <w:spacing w:after="120"/>
        <w:jc w:val="both"/>
        <w:rPr>
          <w:b/>
        </w:rPr>
      </w:pPr>
      <w:r w:rsidRPr="001E20A3">
        <w:rPr>
          <w:b/>
        </w:rPr>
        <w:t xml:space="preserve">   </w:t>
      </w:r>
    </w:p>
    <w:p w14:paraId="114792A8" w14:textId="77777777" w:rsidR="00670C79" w:rsidRPr="001E20A3" w:rsidRDefault="00670C79" w:rsidP="006A2E4E">
      <w:pPr>
        <w:tabs>
          <w:tab w:val="left" w:pos="90"/>
        </w:tabs>
        <w:spacing w:after="120"/>
        <w:jc w:val="both"/>
        <w:rPr>
          <w:b/>
        </w:rPr>
      </w:pPr>
      <w:r w:rsidRPr="001E20A3">
        <w:rPr>
          <w:b/>
        </w:rPr>
        <w:t>Secţiunea a 5-a - Efectele proiectului de act normativ asupra legislaţiei în vigoare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670C79" w:rsidRPr="00256214" w14:paraId="70D41B46" w14:textId="77777777" w:rsidTr="00527866">
        <w:trPr>
          <w:trHeight w:val="561"/>
        </w:trPr>
        <w:tc>
          <w:tcPr>
            <w:tcW w:w="5040" w:type="dxa"/>
          </w:tcPr>
          <w:p w14:paraId="01D1E677" w14:textId="77777777" w:rsidR="00670C79" w:rsidRPr="001E20A3" w:rsidRDefault="00670C79" w:rsidP="006A2E4E">
            <w:pPr>
              <w:tabs>
                <w:tab w:val="left" w:pos="90"/>
              </w:tabs>
              <w:spacing w:after="120"/>
              <w:jc w:val="both"/>
            </w:pPr>
            <w:r w:rsidRPr="001E20A3">
              <w:t>1.Măsuri normative necesare pentru aplicarea prevederilor proiectului de act normativ:</w:t>
            </w:r>
          </w:p>
          <w:p w14:paraId="6C8315E1" w14:textId="77777777" w:rsidR="00670C79" w:rsidRPr="001E20A3" w:rsidRDefault="00670C79" w:rsidP="006A2E4E">
            <w:pPr>
              <w:tabs>
                <w:tab w:val="left" w:pos="90"/>
              </w:tabs>
              <w:spacing w:after="120"/>
              <w:jc w:val="both"/>
            </w:pPr>
            <w:r w:rsidRPr="001E20A3">
              <w:t>a) acte normative în vigoare ce vor fi modificate sau abrogate, ca urmare a intrării în vigoare a proiectului de act normativ;</w:t>
            </w:r>
          </w:p>
          <w:p w14:paraId="7BEB50D9" w14:textId="77777777" w:rsidR="00670C79" w:rsidRPr="001E20A3" w:rsidRDefault="00670C79" w:rsidP="006A2E4E">
            <w:pPr>
              <w:tabs>
                <w:tab w:val="left" w:pos="90"/>
              </w:tabs>
              <w:spacing w:after="120"/>
            </w:pPr>
            <w:r w:rsidRPr="001E20A3">
              <w:t>b) acte normative ce urmează a fi elaborate în vederea implementării noilor dispoziţii.</w:t>
            </w:r>
          </w:p>
        </w:tc>
        <w:tc>
          <w:tcPr>
            <w:tcW w:w="5220" w:type="dxa"/>
          </w:tcPr>
          <w:p w14:paraId="0D898C32" w14:textId="77777777" w:rsidR="00527866" w:rsidRPr="001E20A3" w:rsidRDefault="00527866" w:rsidP="00D4085F">
            <w:pPr>
              <w:tabs>
                <w:tab w:val="left" w:pos="90"/>
              </w:tabs>
              <w:spacing w:after="120"/>
              <w:jc w:val="both"/>
            </w:pPr>
          </w:p>
        </w:tc>
      </w:tr>
      <w:tr w:rsidR="00670C79" w:rsidRPr="00256214" w14:paraId="7B66A4B4" w14:textId="77777777" w:rsidTr="00A65D25">
        <w:trPr>
          <w:trHeight w:val="636"/>
        </w:trPr>
        <w:tc>
          <w:tcPr>
            <w:tcW w:w="5040" w:type="dxa"/>
          </w:tcPr>
          <w:p w14:paraId="142746B7" w14:textId="77777777" w:rsidR="00670C79" w:rsidRPr="00EB6BD7" w:rsidRDefault="00670C79" w:rsidP="006A2E4E">
            <w:pPr>
              <w:pStyle w:val="HTMLPreformatted"/>
              <w:shd w:val="clear" w:color="auto" w:fill="FFFFFF"/>
              <w:tabs>
                <w:tab w:val="left" w:pos="90"/>
              </w:tabs>
              <w:spacing w:after="120"/>
              <w:rPr>
                <w:rFonts w:ascii="Times New Roman" w:hAnsi="Times New Roman" w:cs="Times New Roman"/>
                <w:sz w:val="24"/>
                <w:szCs w:val="24"/>
              </w:rPr>
            </w:pPr>
            <w:r w:rsidRPr="00EB6BD7">
              <w:rPr>
                <w:rFonts w:ascii="Times New Roman" w:hAnsi="Times New Roman" w:cs="Times New Roman"/>
                <w:sz w:val="24"/>
                <w:szCs w:val="24"/>
              </w:rPr>
              <w:t>1^1. Compatibilitatea proiectului de act normativ cu legislaţia în domeniul achiziţiilor publice</w:t>
            </w:r>
          </w:p>
        </w:tc>
        <w:tc>
          <w:tcPr>
            <w:tcW w:w="5220" w:type="dxa"/>
          </w:tcPr>
          <w:p w14:paraId="41D09EBE"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4295193E" w14:textId="77777777" w:rsidTr="00A65D25">
        <w:tc>
          <w:tcPr>
            <w:tcW w:w="5040" w:type="dxa"/>
          </w:tcPr>
          <w:p w14:paraId="2BC98ABF" w14:textId="77777777" w:rsidR="00670C79" w:rsidRPr="00EB6BD7" w:rsidRDefault="00670C79" w:rsidP="006A2E4E">
            <w:pPr>
              <w:tabs>
                <w:tab w:val="left" w:pos="90"/>
              </w:tabs>
              <w:spacing w:after="120"/>
              <w:jc w:val="both"/>
            </w:pPr>
            <w:r w:rsidRPr="00EB6BD7">
              <w:t>2. Conformitatea  proiectului de act normativ cu legislaţia comunitară în cazul proiectelor ce transpun prevederi comunitare</w:t>
            </w:r>
          </w:p>
        </w:tc>
        <w:tc>
          <w:tcPr>
            <w:tcW w:w="5220" w:type="dxa"/>
            <w:vAlign w:val="center"/>
          </w:tcPr>
          <w:p w14:paraId="6DDC96E1"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07B293CD" w14:textId="77777777" w:rsidTr="00A65D25">
        <w:tc>
          <w:tcPr>
            <w:tcW w:w="5040" w:type="dxa"/>
          </w:tcPr>
          <w:p w14:paraId="6CF641C1" w14:textId="77777777" w:rsidR="00670C79" w:rsidRPr="00EB6BD7" w:rsidRDefault="00670C79" w:rsidP="006A2E4E">
            <w:pPr>
              <w:tabs>
                <w:tab w:val="left" w:pos="90"/>
              </w:tabs>
              <w:spacing w:after="120"/>
            </w:pPr>
            <w:r w:rsidRPr="00EB6BD7">
              <w:t>4. Hotărâri ale Curţii de Justiţie a Uniunii Europene</w:t>
            </w:r>
          </w:p>
        </w:tc>
        <w:tc>
          <w:tcPr>
            <w:tcW w:w="5220" w:type="dxa"/>
            <w:vAlign w:val="center"/>
          </w:tcPr>
          <w:p w14:paraId="3E4567F9"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5CFB4207" w14:textId="77777777" w:rsidTr="00A65D25">
        <w:tc>
          <w:tcPr>
            <w:tcW w:w="5040" w:type="dxa"/>
          </w:tcPr>
          <w:p w14:paraId="68DCD8DE" w14:textId="77777777" w:rsidR="00670C79" w:rsidRPr="00EB6BD7" w:rsidRDefault="00670C79" w:rsidP="006A2E4E">
            <w:pPr>
              <w:tabs>
                <w:tab w:val="left" w:pos="90"/>
              </w:tabs>
              <w:spacing w:after="120"/>
            </w:pPr>
            <w:r w:rsidRPr="00EB6BD7">
              <w:t>5. Alte acte normative şi/sau documente internaţionale din care decurg angajamente</w:t>
            </w:r>
          </w:p>
        </w:tc>
        <w:tc>
          <w:tcPr>
            <w:tcW w:w="5220" w:type="dxa"/>
            <w:vAlign w:val="center"/>
          </w:tcPr>
          <w:p w14:paraId="7B789BBB"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086E5995" w14:textId="77777777" w:rsidTr="00A65D25">
        <w:tc>
          <w:tcPr>
            <w:tcW w:w="5040" w:type="dxa"/>
          </w:tcPr>
          <w:p w14:paraId="2E20F25E" w14:textId="77777777" w:rsidR="00670C79" w:rsidRPr="00EB6BD7" w:rsidRDefault="00670C79" w:rsidP="006A2E4E">
            <w:pPr>
              <w:tabs>
                <w:tab w:val="left" w:pos="90"/>
              </w:tabs>
              <w:spacing w:after="120"/>
            </w:pPr>
            <w:r w:rsidRPr="00EB6BD7">
              <w:t>6.Alte informaţii</w:t>
            </w:r>
          </w:p>
        </w:tc>
        <w:tc>
          <w:tcPr>
            <w:tcW w:w="5220" w:type="dxa"/>
            <w:vAlign w:val="center"/>
          </w:tcPr>
          <w:p w14:paraId="40FEC23C" w14:textId="77777777" w:rsidR="00670C79" w:rsidRPr="00EB6BD7" w:rsidRDefault="00670C79" w:rsidP="006A2E4E">
            <w:pPr>
              <w:tabs>
                <w:tab w:val="left" w:pos="90"/>
              </w:tabs>
              <w:spacing w:after="120"/>
              <w:jc w:val="both"/>
            </w:pPr>
            <w:r w:rsidRPr="00EB6BD7">
              <w:t>Nu au fost identificate.</w:t>
            </w:r>
          </w:p>
        </w:tc>
      </w:tr>
    </w:tbl>
    <w:p w14:paraId="0C6F5E2E" w14:textId="77777777" w:rsidR="00670C79" w:rsidRPr="00EB6BD7" w:rsidRDefault="00670C79" w:rsidP="006A2E4E">
      <w:pPr>
        <w:tabs>
          <w:tab w:val="left" w:pos="90"/>
        </w:tabs>
        <w:spacing w:after="120"/>
        <w:jc w:val="center"/>
        <w:rPr>
          <w:b/>
        </w:rPr>
      </w:pPr>
      <w:r w:rsidRPr="00EB6BD7">
        <w:rPr>
          <w:b/>
        </w:rPr>
        <w:t>6. Consultările efectuate în vederea elaborării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670C79" w:rsidRPr="00256214" w14:paraId="71B6B6E2" w14:textId="77777777" w:rsidTr="00A65D25">
        <w:tc>
          <w:tcPr>
            <w:tcW w:w="5040" w:type="dxa"/>
          </w:tcPr>
          <w:p w14:paraId="277CD544" w14:textId="77777777" w:rsidR="00670C79" w:rsidRPr="00EB6BD7" w:rsidRDefault="00670C79" w:rsidP="006A2E4E">
            <w:pPr>
              <w:tabs>
                <w:tab w:val="left" w:pos="90"/>
              </w:tabs>
              <w:spacing w:after="120"/>
              <w:jc w:val="both"/>
            </w:pPr>
            <w:r w:rsidRPr="00EB6BD7">
              <w:t>1.Informaţii privind procesul de consultare cu organizaţii neguvernamentale, instituite de cercetare şi alte organisme implicate</w:t>
            </w:r>
          </w:p>
        </w:tc>
        <w:tc>
          <w:tcPr>
            <w:tcW w:w="5220" w:type="dxa"/>
          </w:tcPr>
          <w:p w14:paraId="7B0E6146" w14:textId="77777777" w:rsidR="00670C79" w:rsidRPr="00EB6BD7" w:rsidRDefault="00670C79" w:rsidP="006A2E4E">
            <w:pPr>
              <w:tabs>
                <w:tab w:val="left" w:pos="90"/>
              </w:tabs>
              <w:spacing w:after="120"/>
              <w:jc w:val="both"/>
            </w:pPr>
            <w:r w:rsidRPr="00EB6BD7">
              <w:t xml:space="preserve"> </w:t>
            </w:r>
          </w:p>
        </w:tc>
      </w:tr>
      <w:tr w:rsidR="00670C79" w:rsidRPr="00256214" w14:paraId="05751064" w14:textId="77777777" w:rsidTr="00A65D25">
        <w:tc>
          <w:tcPr>
            <w:tcW w:w="5040" w:type="dxa"/>
          </w:tcPr>
          <w:p w14:paraId="0992F111" w14:textId="77777777" w:rsidR="00670C79" w:rsidRPr="00EB6BD7" w:rsidRDefault="00670C79" w:rsidP="006A2E4E">
            <w:pPr>
              <w:tabs>
                <w:tab w:val="left" w:pos="90"/>
              </w:tabs>
              <w:spacing w:after="120"/>
              <w:jc w:val="both"/>
            </w:pPr>
            <w:r w:rsidRPr="00EB6BD7">
              <w:t>2.Fundamentarea alegerii organizaţiilor cu care a avut loc consultarea, precum şi a modului în care activitatea acestor organizaţii este legată de obiectivul proiectului de act normativ</w:t>
            </w:r>
          </w:p>
        </w:tc>
        <w:tc>
          <w:tcPr>
            <w:tcW w:w="5220" w:type="dxa"/>
            <w:vAlign w:val="center"/>
          </w:tcPr>
          <w:p w14:paraId="6536E17B" w14:textId="77777777" w:rsidR="00670C79" w:rsidRPr="00EB6BD7" w:rsidRDefault="00670C79" w:rsidP="006A2E4E">
            <w:pPr>
              <w:tabs>
                <w:tab w:val="left" w:pos="90"/>
              </w:tabs>
              <w:spacing w:after="120"/>
            </w:pPr>
            <w:r w:rsidRPr="00EB6BD7">
              <w:t>Proiectul de act normativ nu se referă la acest subiect.</w:t>
            </w:r>
          </w:p>
        </w:tc>
      </w:tr>
      <w:tr w:rsidR="00A65D25" w:rsidRPr="00256214" w14:paraId="117274C5" w14:textId="77777777" w:rsidTr="00A65D25">
        <w:tc>
          <w:tcPr>
            <w:tcW w:w="5040" w:type="dxa"/>
          </w:tcPr>
          <w:p w14:paraId="77028499" w14:textId="77777777" w:rsidR="00A65D25" w:rsidRPr="00EB6BD7" w:rsidRDefault="00A65D25" w:rsidP="006A2E4E">
            <w:pPr>
              <w:tabs>
                <w:tab w:val="left" w:pos="90"/>
              </w:tabs>
              <w:spacing w:after="120"/>
              <w:jc w:val="both"/>
            </w:pPr>
            <w:r w:rsidRPr="00EB6BD7">
              <w:t xml:space="preserve">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w:t>
            </w:r>
            <w:r w:rsidRPr="00EB6BD7">
              <w:lastRenderedPageBreak/>
              <w:t>administraţiei publice locale la elaborarea proiectelor de acte normative</w:t>
            </w:r>
          </w:p>
        </w:tc>
        <w:tc>
          <w:tcPr>
            <w:tcW w:w="5220" w:type="dxa"/>
            <w:vAlign w:val="center"/>
          </w:tcPr>
          <w:p w14:paraId="36A5CB3B" w14:textId="03FEEA7F" w:rsidR="00A65D25" w:rsidRPr="00EB6BD7" w:rsidRDefault="007877F4" w:rsidP="003E3A39">
            <w:pPr>
              <w:tabs>
                <w:tab w:val="left" w:pos="90"/>
              </w:tabs>
              <w:spacing w:after="120"/>
              <w:jc w:val="both"/>
            </w:pPr>
            <w:r w:rsidRPr="007877F4">
              <w:lastRenderedPageBreak/>
              <w:t xml:space="preserve">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w:t>
            </w:r>
            <w:r w:rsidRPr="007877F4">
              <w:lastRenderedPageBreak/>
              <w:t>administraţiei publice locale la elaborarea proiectelor de acte normative.</w:t>
            </w:r>
          </w:p>
        </w:tc>
      </w:tr>
      <w:tr w:rsidR="00670C79" w:rsidRPr="00256214" w14:paraId="2CB4E936" w14:textId="77777777" w:rsidTr="00A65D25">
        <w:tc>
          <w:tcPr>
            <w:tcW w:w="5040" w:type="dxa"/>
          </w:tcPr>
          <w:p w14:paraId="6EF67757" w14:textId="77777777" w:rsidR="00670C79" w:rsidRPr="00EB6BD7" w:rsidRDefault="00670C79" w:rsidP="006A2E4E">
            <w:pPr>
              <w:tabs>
                <w:tab w:val="left" w:pos="90"/>
              </w:tabs>
              <w:spacing w:after="120"/>
            </w:pPr>
            <w:r w:rsidRPr="00EB6BD7">
              <w:lastRenderedPageBreak/>
              <w:t>4.Consultările desfăşurate în cadrul consiliilor interministeriale, în conformitate cu prevederile Hotărârii Guvernului nr. 750/2005 privind constituirea consiliilor interministeriale permanente</w:t>
            </w:r>
          </w:p>
        </w:tc>
        <w:tc>
          <w:tcPr>
            <w:tcW w:w="5220" w:type="dxa"/>
            <w:vAlign w:val="center"/>
          </w:tcPr>
          <w:p w14:paraId="004D3347"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7CDFD1D3" w14:textId="77777777" w:rsidTr="00A65D25">
        <w:tc>
          <w:tcPr>
            <w:tcW w:w="5040" w:type="dxa"/>
          </w:tcPr>
          <w:p w14:paraId="33637BDC" w14:textId="77777777" w:rsidR="00670C79" w:rsidRPr="00EB6BD7" w:rsidRDefault="00670C79" w:rsidP="006A2E4E">
            <w:pPr>
              <w:tabs>
                <w:tab w:val="left" w:pos="90"/>
              </w:tabs>
              <w:spacing w:after="60"/>
            </w:pPr>
            <w:r w:rsidRPr="00EB6BD7">
              <w:t>5.Informaţii privind avizarea de către:</w:t>
            </w:r>
          </w:p>
          <w:p w14:paraId="0A93747A" w14:textId="77777777" w:rsidR="00670C79" w:rsidRPr="00EB6BD7" w:rsidRDefault="00670C79" w:rsidP="006A2E4E">
            <w:pPr>
              <w:tabs>
                <w:tab w:val="left" w:pos="90"/>
              </w:tabs>
              <w:spacing w:after="60"/>
            </w:pPr>
            <w:r w:rsidRPr="00EB6BD7">
              <w:t>a) Consiliul legislativ</w:t>
            </w:r>
          </w:p>
          <w:p w14:paraId="55E81FB8" w14:textId="77777777" w:rsidR="00670C79" w:rsidRPr="00EB6BD7" w:rsidRDefault="00670C79" w:rsidP="006A2E4E">
            <w:pPr>
              <w:tabs>
                <w:tab w:val="left" w:pos="90"/>
              </w:tabs>
              <w:spacing w:after="60"/>
            </w:pPr>
            <w:r w:rsidRPr="00EB6BD7">
              <w:t>b)Consiliul Suprem de Apărare a Ţării</w:t>
            </w:r>
          </w:p>
          <w:p w14:paraId="4515C6E9" w14:textId="77777777" w:rsidR="00670C79" w:rsidRPr="00EB6BD7" w:rsidRDefault="00670C79" w:rsidP="006A2E4E">
            <w:pPr>
              <w:tabs>
                <w:tab w:val="left" w:pos="90"/>
              </w:tabs>
              <w:spacing w:after="60"/>
            </w:pPr>
            <w:r w:rsidRPr="00EB6BD7">
              <w:t>c)Consiliul Economic şi Social</w:t>
            </w:r>
          </w:p>
          <w:p w14:paraId="6F7CB627" w14:textId="2207A36D" w:rsidR="00670C79" w:rsidRPr="00EB6BD7" w:rsidRDefault="00670C79" w:rsidP="006A2E4E">
            <w:pPr>
              <w:tabs>
                <w:tab w:val="left" w:pos="90"/>
              </w:tabs>
              <w:spacing w:after="60"/>
            </w:pPr>
            <w:r w:rsidRPr="00EB6BD7">
              <w:t>d)Consiliul Concu</w:t>
            </w:r>
            <w:r w:rsidR="006D2296">
              <w:t xml:space="preserve"> </w:t>
            </w:r>
            <w:r w:rsidRPr="00EB6BD7">
              <w:t xml:space="preserve">renţei </w:t>
            </w:r>
          </w:p>
          <w:p w14:paraId="1E64EA62" w14:textId="77777777" w:rsidR="00670C79" w:rsidRPr="00EB6BD7" w:rsidRDefault="00670C79" w:rsidP="006A2E4E">
            <w:pPr>
              <w:tabs>
                <w:tab w:val="left" w:pos="90"/>
              </w:tabs>
              <w:spacing w:after="60"/>
            </w:pPr>
            <w:r w:rsidRPr="00EB6BD7">
              <w:t>e)Curtea de Conturi</w:t>
            </w:r>
          </w:p>
        </w:tc>
        <w:tc>
          <w:tcPr>
            <w:tcW w:w="5220" w:type="dxa"/>
            <w:vAlign w:val="center"/>
          </w:tcPr>
          <w:p w14:paraId="208080F4" w14:textId="77777777" w:rsidR="00670C79" w:rsidRPr="00EB6BD7" w:rsidRDefault="00670C79" w:rsidP="00256214">
            <w:pPr>
              <w:tabs>
                <w:tab w:val="left" w:pos="90"/>
              </w:tabs>
              <w:spacing w:after="60"/>
              <w:jc w:val="both"/>
              <w:rPr>
                <w:lang w:val="en-US"/>
              </w:rPr>
            </w:pPr>
            <w:r w:rsidRPr="00EB6BD7">
              <w:t>Prezentul proiect de act normativ este supus avizării Consiliului Legislativ</w:t>
            </w:r>
            <w:r w:rsidR="00221987" w:rsidRPr="00EB6BD7">
              <w:t xml:space="preserve"> și s-a solicitat punctul de vedere al Autorității de Audit și al Curții de Conturi.</w:t>
            </w:r>
            <w:r w:rsidR="00135D7F" w:rsidRPr="00EB6BD7">
              <w:t xml:space="preserve">  </w:t>
            </w:r>
          </w:p>
        </w:tc>
      </w:tr>
      <w:tr w:rsidR="00670C79" w:rsidRPr="00256214" w14:paraId="000DB52B" w14:textId="77777777" w:rsidTr="00A65D25">
        <w:tc>
          <w:tcPr>
            <w:tcW w:w="5040" w:type="dxa"/>
          </w:tcPr>
          <w:p w14:paraId="31818CE8" w14:textId="77777777" w:rsidR="00670C79" w:rsidRPr="00EB6BD7" w:rsidRDefault="00670C79" w:rsidP="006A2E4E">
            <w:pPr>
              <w:tabs>
                <w:tab w:val="left" w:pos="90"/>
              </w:tabs>
              <w:spacing w:after="60"/>
            </w:pPr>
            <w:r w:rsidRPr="00EB6BD7">
              <w:t>6.Alte informaţii</w:t>
            </w:r>
          </w:p>
        </w:tc>
        <w:tc>
          <w:tcPr>
            <w:tcW w:w="5220" w:type="dxa"/>
            <w:vAlign w:val="center"/>
          </w:tcPr>
          <w:p w14:paraId="5207607E" w14:textId="77777777" w:rsidR="00670C79" w:rsidRPr="00EB6BD7" w:rsidRDefault="00670C79" w:rsidP="006A2E4E">
            <w:pPr>
              <w:tabs>
                <w:tab w:val="left" w:pos="90"/>
              </w:tabs>
              <w:spacing w:after="60"/>
              <w:jc w:val="both"/>
            </w:pPr>
            <w:r w:rsidRPr="00EB6BD7">
              <w:t>Nu au fost identificate.</w:t>
            </w:r>
          </w:p>
        </w:tc>
      </w:tr>
    </w:tbl>
    <w:p w14:paraId="7B54B0DC" w14:textId="77777777" w:rsidR="00670C79" w:rsidRDefault="00670C79" w:rsidP="006A2E4E">
      <w:pPr>
        <w:pStyle w:val="BodyTextIndent2"/>
        <w:tabs>
          <w:tab w:val="left" w:pos="90"/>
        </w:tabs>
        <w:spacing w:before="0" w:line="240" w:lineRule="auto"/>
        <w:ind w:firstLine="0"/>
        <w:jc w:val="both"/>
        <w:rPr>
          <w:bCs w:val="0"/>
          <w:sz w:val="24"/>
        </w:rPr>
      </w:pPr>
      <w:r w:rsidRPr="00EB6BD7">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4"/>
        <w:gridCol w:w="6466"/>
      </w:tblGrid>
      <w:tr w:rsidR="00670C79" w:rsidRPr="00256214" w14:paraId="603B987E" w14:textId="77777777" w:rsidTr="00797751">
        <w:tc>
          <w:tcPr>
            <w:tcW w:w="3774" w:type="dxa"/>
          </w:tcPr>
          <w:p w14:paraId="7B11D072" w14:textId="77777777" w:rsidR="00670C79" w:rsidRPr="00EB6BD7" w:rsidRDefault="00670C79" w:rsidP="006A2E4E">
            <w:pPr>
              <w:tabs>
                <w:tab w:val="left" w:pos="90"/>
              </w:tabs>
              <w:spacing w:after="120"/>
            </w:pPr>
            <w:r w:rsidRPr="00EB6BD7">
              <w:t>1.Informarea societăţii civile cu privire la necesitatea elaborării proiectului de act normativ</w:t>
            </w:r>
          </w:p>
        </w:tc>
        <w:tc>
          <w:tcPr>
            <w:tcW w:w="6466" w:type="dxa"/>
          </w:tcPr>
          <w:p w14:paraId="75768E3C" w14:textId="3BBA7385" w:rsidR="00670C79" w:rsidRPr="00EB6BD7" w:rsidRDefault="00A54C53" w:rsidP="00A54C53">
            <w:pPr>
              <w:tabs>
                <w:tab w:val="left" w:pos="90"/>
              </w:tabs>
              <w:spacing w:after="120"/>
              <w:jc w:val="both"/>
            </w:pPr>
            <w:r w:rsidRPr="00A54C53">
              <w:t>Prezentul proiect de act normativ respectă prevederile art. 7 alin. (13) din Legea nr. 52/2003 privind transparența decizională în administrația publică, republicată, și a fost publicată în dezbatere publică pe pagina de internet a Ministerului Fondurilor Europene la data de</w:t>
            </w:r>
            <w:r w:rsidR="007877F4">
              <w:t xml:space="preserve">  09.04.2020</w:t>
            </w:r>
          </w:p>
        </w:tc>
      </w:tr>
      <w:tr w:rsidR="00670C79" w:rsidRPr="00256214" w14:paraId="3A82ED0A" w14:textId="77777777" w:rsidTr="00797751">
        <w:tc>
          <w:tcPr>
            <w:tcW w:w="3774" w:type="dxa"/>
          </w:tcPr>
          <w:p w14:paraId="69560DFC" w14:textId="77777777" w:rsidR="00670C79" w:rsidRPr="00EB6BD7" w:rsidRDefault="00670C79" w:rsidP="006A2E4E">
            <w:pPr>
              <w:tabs>
                <w:tab w:val="left" w:pos="90"/>
              </w:tabs>
              <w:spacing w:after="120"/>
            </w:pPr>
            <w:r w:rsidRPr="00EB6BD7">
              <w:t>2.Informarea societăţii civile cu privire la eventualul impact asupra mediului în urma implementării proiectului de act normativ, precum şi efectele asupra sănătăţii şi securităţii cetăţeanului sau diversităţii biologice</w:t>
            </w:r>
          </w:p>
        </w:tc>
        <w:tc>
          <w:tcPr>
            <w:tcW w:w="6466" w:type="dxa"/>
          </w:tcPr>
          <w:p w14:paraId="25637230" w14:textId="77777777" w:rsidR="00670C79" w:rsidRPr="00EB6BD7" w:rsidRDefault="00670C79" w:rsidP="006A2E4E">
            <w:pPr>
              <w:tabs>
                <w:tab w:val="left" w:pos="90"/>
              </w:tabs>
              <w:spacing w:after="120"/>
              <w:jc w:val="both"/>
            </w:pPr>
          </w:p>
          <w:p w14:paraId="732055A7" w14:textId="77777777" w:rsidR="00670C79" w:rsidRPr="00EB6BD7" w:rsidRDefault="00670C79" w:rsidP="006A2E4E">
            <w:pPr>
              <w:tabs>
                <w:tab w:val="left" w:pos="90"/>
              </w:tabs>
              <w:spacing w:after="120"/>
              <w:jc w:val="both"/>
            </w:pPr>
            <w:r w:rsidRPr="00EB6BD7">
              <w:t>Proiectul de act normativ nu se referă la acest subiect.</w:t>
            </w:r>
          </w:p>
        </w:tc>
      </w:tr>
      <w:tr w:rsidR="00670C79" w:rsidRPr="00256214" w14:paraId="344098F3" w14:textId="77777777" w:rsidTr="00797751">
        <w:tc>
          <w:tcPr>
            <w:tcW w:w="3774" w:type="dxa"/>
          </w:tcPr>
          <w:p w14:paraId="4BCC7EC2" w14:textId="77777777" w:rsidR="00670C79" w:rsidRPr="00EB6BD7" w:rsidRDefault="00670C79" w:rsidP="006A2E4E">
            <w:pPr>
              <w:tabs>
                <w:tab w:val="left" w:pos="90"/>
              </w:tabs>
              <w:spacing w:after="120"/>
            </w:pPr>
            <w:r w:rsidRPr="00EB6BD7">
              <w:t>3. Alte informaţii</w:t>
            </w:r>
          </w:p>
        </w:tc>
        <w:tc>
          <w:tcPr>
            <w:tcW w:w="6466" w:type="dxa"/>
            <w:vAlign w:val="center"/>
          </w:tcPr>
          <w:p w14:paraId="7F27C86A" w14:textId="77777777" w:rsidR="00670C79" w:rsidRPr="00EB6BD7" w:rsidRDefault="00670C79" w:rsidP="006A2E4E">
            <w:pPr>
              <w:tabs>
                <w:tab w:val="left" w:pos="90"/>
              </w:tabs>
              <w:spacing w:after="120"/>
              <w:jc w:val="both"/>
            </w:pPr>
            <w:r w:rsidRPr="00EB6BD7">
              <w:t>Nu au fost identificate.</w:t>
            </w:r>
          </w:p>
        </w:tc>
      </w:tr>
    </w:tbl>
    <w:p w14:paraId="2D38614B" w14:textId="77777777" w:rsidR="00135D7F" w:rsidRPr="00EB6BD7" w:rsidRDefault="00135D7F" w:rsidP="006A2E4E">
      <w:pPr>
        <w:tabs>
          <w:tab w:val="left" w:pos="90"/>
        </w:tabs>
        <w:spacing w:after="120"/>
        <w:rPr>
          <w:b/>
        </w:rPr>
      </w:pPr>
    </w:p>
    <w:p w14:paraId="66F94ADE" w14:textId="77777777" w:rsidR="00670C79" w:rsidRDefault="00670C79" w:rsidP="006A2E4E">
      <w:pPr>
        <w:tabs>
          <w:tab w:val="left" w:pos="90"/>
        </w:tabs>
        <w:spacing w:after="120"/>
        <w:rPr>
          <w:b/>
        </w:rPr>
      </w:pPr>
      <w:r w:rsidRPr="00EB6BD7">
        <w:rPr>
          <w:b/>
        </w:rPr>
        <w:t>Secţiunea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480"/>
      </w:tblGrid>
      <w:tr w:rsidR="00670C79" w:rsidRPr="00256214" w14:paraId="63348716" w14:textId="77777777" w:rsidTr="00A65D25">
        <w:tc>
          <w:tcPr>
            <w:tcW w:w="3780" w:type="dxa"/>
          </w:tcPr>
          <w:p w14:paraId="04BA1193" w14:textId="77777777" w:rsidR="00135D7F" w:rsidRPr="002E1BEB" w:rsidRDefault="00670C79" w:rsidP="00EB6BD7">
            <w:pPr>
              <w:pStyle w:val="ListParagraph"/>
              <w:numPr>
                <w:ilvl w:val="0"/>
                <w:numId w:val="10"/>
              </w:numPr>
              <w:tabs>
                <w:tab w:val="left" w:pos="90"/>
              </w:tabs>
              <w:spacing w:after="120"/>
              <w:ind w:left="319" w:hanging="270"/>
              <w:jc w:val="both"/>
            </w:pPr>
            <w:r w:rsidRPr="00EB6BD7">
              <w:rPr>
                <w:rFonts w:ascii="Times New Roman" w:hAnsi="Times New Roman" w:cs="Times New Roman"/>
              </w:rPr>
              <w:t>Măsuri de punere în aplicare a proiectului de act normativ de către autorităţile administrative publice centrale şi/sau locale-înfiinţarea sau extinderea competenţei instituţiilor existente</w:t>
            </w:r>
          </w:p>
        </w:tc>
        <w:tc>
          <w:tcPr>
            <w:tcW w:w="6480" w:type="dxa"/>
            <w:vAlign w:val="center"/>
          </w:tcPr>
          <w:p w14:paraId="7140EF98" w14:textId="77777777" w:rsidR="00670C79" w:rsidRPr="00EB6BD7" w:rsidRDefault="00670C79" w:rsidP="006A2E4E">
            <w:pPr>
              <w:pStyle w:val="Heading1"/>
              <w:tabs>
                <w:tab w:val="left" w:pos="90"/>
              </w:tabs>
              <w:spacing w:after="120" w:line="240" w:lineRule="auto"/>
              <w:jc w:val="both"/>
              <w:rPr>
                <w:sz w:val="24"/>
              </w:rPr>
            </w:pPr>
            <w:r w:rsidRPr="00EB6BD7">
              <w:rPr>
                <w:sz w:val="24"/>
              </w:rPr>
              <w:t>Proiectul de act normativ nu se referă la acest subiect.</w:t>
            </w:r>
          </w:p>
        </w:tc>
      </w:tr>
      <w:tr w:rsidR="00670C79" w:rsidRPr="00256214" w14:paraId="411B17DF" w14:textId="77777777" w:rsidTr="00A65D25">
        <w:tc>
          <w:tcPr>
            <w:tcW w:w="3780" w:type="dxa"/>
          </w:tcPr>
          <w:p w14:paraId="712F5458" w14:textId="77777777" w:rsidR="00670C79" w:rsidRPr="00EB6BD7" w:rsidRDefault="00670C79" w:rsidP="006A2E4E">
            <w:pPr>
              <w:tabs>
                <w:tab w:val="left" w:pos="90"/>
              </w:tabs>
              <w:spacing w:after="120"/>
              <w:jc w:val="both"/>
            </w:pPr>
            <w:r w:rsidRPr="00EB6BD7">
              <w:t>2. Alte informaţii</w:t>
            </w:r>
          </w:p>
        </w:tc>
        <w:tc>
          <w:tcPr>
            <w:tcW w:w="6480" w:type="dxa"/>
            <w:vAlign w:val="center"/>
          </w:tcPr>
          <w:p w14:paraId="3FC3AFC0" w14:textId="77777777" w:rsidR="00670C79" w:rsidRPr="00EB6BD7" w:rsidRDefault="00670C79" w:rsidP="006A2E4E">
            <w:pPr>
              <w:tabs>
                <w:tab w:val="left" w:pos="90"/>
              </w:tabs>
              <w:spacing w:after="120"/>
              <w:jc w:val="both"/>
            </w:pPr>
            <w:r w:rsidRPr="00EB6BD7">
              <w:t>Nu au fost identificate.</w:t>
            </w:r>
          </w:p>
          <w:p w14:paraId="513A3549" w14:textId="77777777" w:rsidR="00135D7F" w:rsidRPr="00EB6BD7" w:rsidRDefault="00135D7F" w:rsidP="006A2E4E">
            <w:pPr>
              <w:tabs>
                <w:tab w:val="left" w:pos="90"/>
              </w:tabs>
              <w:spacing w:after="120"/>
              <w:jc w:val="both"/>
            </w:pPr>
          </w:p>
        </w:tc>
      </w:tr>
    </w:tbl>
    <w:p w14:paraId="476FA47F" w14:textId="77777777" w:rsidR="00763CC1" w:rsidRPr="00EB6BD7" w:rsidRDefault="00763CC1" w:rsidP="006A2E4E">
      <w:pPr>
        <w:tabs>
          <w:tab w:val="left" w:pos="90"/>
        </w:tabs>
        <w:spacing w:after="120"/>
        <w:jc w:val="both"/>
      </w:pPr>
    </w:p>
    <w:p w14:paraId="2D67EC54" w14:textId="77777777" w:rsidR="006D2296" w:rsidRDefault="006D2296" w:rsidP="006A2E4E">
      <w:pPr>
        <w:widowControl w:val="0"/>
        <w:tabs>
          <w:tab w:val="left" w:pos="90"/>
        </w:tabs>
        <w:spacing w:after="120"/>
        <w:jc w:val="both"/>
      </w:pPr>
    </w:p>
    <w:p w14:paraId="210677DA" w14:textId="44EC5B58" w:rsidR="006B075E" w:rsidRPr="00EB6BD7" w:rsidRDefault="00670C79" w:rsidP="006A2E4E">
      <w:pPr>
        <w:widowControl w:val="0"/>
        <w:tabs>
          <w:tab w:val="left" w:pos="90"/>
        </w:tabs>
        <w:spacing w:after="120"/>
        <w:jc w:val="both"/>
      </w:pPr>
      <w:r w:rsidRPr="00EB6BD7">
        <w:t xml:space="preserve">Faţă de cele prezentate mai sus, a fost promovat prezentul proiect de </w:t>
      </w:r>
      <w:r w:rsidR="00636AA1" w:rsidRPr="001E20A3">
        <w:t xml:space="preserve">Ordonanţă de urgenţă </w:t>
      </w:r>
      <w:r w:rsidR="00636AA1" w:rsidRPr="00244124">
        <w:t>privind unele</w:t>
      </w:r>
      <w:r w:rsidR="005C4B05">
        <w:t xml:space="preserve"> </w:t>
      </w:r>
      <w:r w:rsidR="00636AA1" w:rsidRPr="00244124">
        <w:t xml:space="preserve"> </w:t>
      </w:r>
      <w:r w:rsidR="00636AA1" w:rsidRPr="00244124">
        <w:lastRenderedPageBreak/>
        <w:t xml:space="preserve">măsuri privind beneficiarii de fonduri </w:t>
      </w:r>
      <w:r w:rsidR="00636AA1">
        <w:t>europene</w:t>
      </w:r>
      <w:r w:rsidR="00636AA1" w:rsidRPr="00244124">
        <w:t xml:space="preserve"> ca urmare a răspândirii virusului COVID-19</w:t>
      </w:r>
      <w:r w:rsidR="00E07299" w:rsidRPr="00EB6BD7">
        <w:t>, care</w:t>
      </w:r>
      <w:r w:rsidRPr="00EB6BD7">
        <w:t xml:space="preserve"> în forma prezentată, a fost avizat de </w:t>
      </w:r>
      <w:r w:rsidR="008752C0" w:rsidRPr="00EB6BD7">
        <w:t xml:space="preserve">Consiliul Legislativ, precum şi de către </w:t>
      </w:r>
      <w:r w:rsidRPr="00EB6BD7">
        <w:t>ministerele interesate şi pe care îl supunem adoptării.</w:t>
      </w:r>
    </w:p>
    <w:p w14:paraId="1030A643" w14:textId="77777777" w:rsidR="006C38C6" w:rsidRDefault="006C38C6" w:rsidP="006A2E4E">
      <w:pPr>
        <w:tabs>
          <w:tab w:val="left" w:pos="90"/>
        </w:tabs>
        <w:spacing w:after="120"/>
        <w:jc w:val="both"/>
        <w:rPr>
          <w:b/>
          <w:bCs/>
        </w:rPr>
      </w:pPr>
    </w:p>
    <w:p w14:paraId="3567176E" w14:textId="77777777" w:rsidR="00534276" w:rsidRDefault="00534276" w:rsidP="006A2E4E">
      <w:pPr>
        <w:tabs>
          <w:tab w:val="left" w:pos="90"/>
        </w:tabs>
        <w:spacing w:after="120"/>
        <w:jc w:val="both"/>
        <w:rPr>
          <w:b/>
          <w:bCs/>
        </w:rPr>
      </w:pPr>
    </w:p>
    <w:p w14:paraId="4EFAAE8D" w14:textId="77777777" w:rsidR="00064A6B" w:rsidRDefault="006C38C6" w:rsidP="006C38C6">
      <w:pPr>
        <w:tabs>
          <w:tab w:val="left" w:pos="90"/>
        </w:tabs>
        <w:spacing w:after="120"/>
        <w:jc w:val="center"/>
        <w:rPr>
          <w:b/>
          <w:bCs/>
        </w:rPr>
      </w:pPr>
      <w:r w:rsidRPr="00EB6BD7">
        <w:rPr>
          <w:b/>
          <w:bCs/>
        </w:rPr>
        <w:t>MINISTRUL FONDURILOR EUROPENE</w:t>
      </w:r>
    </w:p>
    <w:p w14:paraId="02073E07" w14:textId="77777777" w:rsidR="006C38C6" w:rsidRDefault="006C38C6" w:rsidP="006C38C6">
      <w:pPr>
        <w:tabs>
          <w:tab w:val="left" w:pos="90"/>
        </w:tabs>
        <w:spacing w:after="120"/>
        <w:jc w:val="center"/>
        <w:rPr>
          <w:b/>
          <w:bCs/>
        </w:rPr>
      </w:pPr>
      <w:r w:rsidRPr="00EB6BD7">
        <w:rPr>
          <w:b/>
          <w:bCs/>
        </w:rPr>
        <w:t>Ioan Marcel BOLOŞ</w:t>
      </w:r>
    </w:p>
    <w:p w14:paraId="6AE34E1C" w14:textId="77777777" w:rsidR="00026B13" w:rsidRDefault="00026B13" w:rsidP="006A2E4E">
      <w:pPr>
        <w:tabs>
          <w:tab w:val="left" w:pos="90"/>
        </w:tabs>
        <w:spacing w:after="120"/>
        <w:jc w:val="center"/>
        <w:rPr>
          <w:b/>
          <w:u w:val="single"/>
        </w:rPr>
      </w:pPr>
    </w:p>
    <w:p w14:paraId="2D387186" w14:textId="77777777" w:rsidR="00EC2D8B" w:rsidRDefault="00EC2D8B" w:rsidP="006A2E4E">
      <w:pPr>
        <w:tabs>
          <w:tab w:val="left" w:pos="90"/>
        </w:tabs>
        <w:spacing w:after="120"/>
        <w:jc w:val="center"/>
        <w:rPr>
          <w:b/>
          <w:u w:val="single"/>
        </w:rPr>
      </w:pPr>
    </w:p>
    <w:p w14:paraId="6967FB11" w14:textId="77777777" w:rsidR="00534276" w:rsidRPr="00EB6BD7" w:rsidRDefault="00534276" w:rsidP="006A2E4E">
      <w:pPr>
        <w:tabs>
          <w:tab w:val="left" w:pos="90"/>
        </w:tabs>
        <w:spacing w:after="120"/>
        <w:jc w:val="center"/>
        <w:rPr>
          <w:b/>
          <w:u w:val="single"/>
        </w:rPr>
      </w:pPr>
    </w:p>
    <w:p w14:paraId="5517AFC3" w14:textId="77777777" w:rsidR="005D4F6E" w:rsidRDefault="005D4F6E" w:rsidP="006A2E4E">
      <w:pPr>
        <w:tabs>
          <w:tab w:val="left" w:pos="90"/>
        </w:tabs>
        <w:spacing w:after="120"/>
        <w:jc w:val="center"/>
        <w:rPr>
          <w:b/>
          <w:u w:val="single"/>
        </w:rPr>
      </w:pPr>
      <w:r w:rsidRPr="000539C8">
        <w:rPr>
          <w:b/>
          <w:u w:val="single"/>
        </w:rPr>
        <w:t>AVIZĂM FAVORABIL:</w:t>
      </w:r>
    </w:p>
    <w:p w14:paraId="08BEBDF6" w14:textId="77777777" w:rsidR="006C38C6" w:rsidRPr="000539C8" w:rsidRDefault="006C38C6" w:rsidP="006A2E4E">
      <w:pPr>
        <w:tabs>
          <w:tab w:val="left" w:pos="90"/>
        </w:tabs>
        <w:spacing w:after="120"/>
        <w:jc w:val="center"/>
        <w:rPr>
          <w:b/>
          <w:u w:val="single"/>
        </w:rPr>
      </w:pPr>
    </w:p>
    <w:p w14:paraId="188A2BFC" w14:textId="77777777" w:rsidR="006C38C6" w:rsidRDefault="006C38C6" w:rsidP="006C38C6">
      <w:pPr>
        <w:tabs>
          <w:tab w:val="left" w:pos="90"/>
        </w:tabs>
        <w:spacing w:after="120"/>
        <w:jc w:val="center"/>
        <w:rPr>
          <w:b/>
          <w:bCs/>
        </w:rPr>
      </w:pPr>
      <w:r w:rsidRPr="00EB6BD7">
        <w:rPr>
          <w:b/>
          <w:bCs/>
        </w:rPr>
        <w:t>MINISTRUL FINANŢELOR PUBLICE</w:t>
      </w:r>
    </w:p>
    <w:p w14:paraId="07C61D12" w14:textId="77777777" w:rsidR="006C38C6" w:rsidRPr="00EB6BD7" w:rsidRDefault="006C38C6" w:rsidP="006C38C6">
      <w:pPr>
        <w:tabs>
          <w:tab w:val="left" w:pos="90"/>
        </w:tabs>
        <w:spacing w:after="120"/>
        <w:jc w:val="center"/>
        <w:rPr>
          <w:b/>
          <w:bCs/>
        </w:rPr>
      </w:pPr>
    </w:p>
    <w:p w14:paraId="5655E9B2" w14:textId="77777777" w:rsidR="006C38C6" w:rsidRPr="00EB6BD7" w:rsidRDefault="006C38C6" w:rsidP="006C38C6">
      <w:pPr>
        <w:tabs>
          <w:tab w:val="left" w:pos="90"/>
        </w:tabs>
        <w:spacing w:after="120"/>
        <w:jc w:val="center"/>
        <w:rPr>
          <w:b/>
          <w:bCs/>
        </w:rPr>
      </w:pPr>
      <w:r w:rsidRPr="00EB6BD7">
        <w:rPr>
          <w:b/>
          <w:bCs/>
        </w:rPr>
        <w:t>Vasile-Florin CÎŢU</w:t>
      </w:r>
    </w:p>
    <w:p w14:paraId="38F3274F" w14:textId="77777777" w:rsidR="006C38C6" w:rsidRDefault="006C38C6" w:rsidP="006A2E4E">
      <w:pPr>
        <w:tabs>
          <w:tab w:val="left" w:pos="90"/>
        </w:tabs>
        <w:spacing w:after="120"/>
        <w:jc w:val="center"/>
        <w:rPr>
          <w:b/>
        </w:rPr>
      </w:pPr>
    </w:p>
    <w:p w14:paraId="6337CCC7" w14:textId="77777777" w:rsidR="005D4F6E" w:rsidRPr="000539C8" w:rsidRDefault="005D4F6E" w:rsidP="006A2E4E">
      <w:pPr>
        <w:tabs>
          <w:tab w:val="left" w:pos="90"/>
        </w:tabs>
        <w:spacing w:after="120"/>
        <w:jc w:val="center"/>
        <w:rPr>
          <w:b/>
        </w:rPr>
      </w:pPr>
      <w:r w:rsidRPr="000539C8">
        <w:rPr>
          <w:b/>
        </w:rPr>
        <w:t>MINISTRU</w:t>
      </w:r>
    </w:p>
    <w:p w14:paraId="6EB7C848" w14:textId="77777777" w:rsidR="005D4F6E" w:rsidRPr="000539C8" w:rsidRDefault="005D4F6E" w:rsidP="006A2E4E">
      <w:pPr>
        <w:tabs>
          <w:tab w:val="left" w:pos="90"/>
        </w:tabs>
        <w:spacing w:after="120"/>
        <w:jc w:val="center"/>
        <w:rPr>
          <w:b/>
        </w:rPr>
      </w:pPr>
      <w:r w:rsidRPr="000539C8">
        <w:rPr>
          <w:b/>
        </w:rPr>
        <w:t xml:space="preserve">MINISTRUL </w:t>
      </w:r>
      <w:r w:rsidR="00C01DF1" w:rsidRPr="000539C8">
        <w:rPr>
          <w:b/>
        </w:rPr>
        <w:t xml:space="preserve">LUCRĂRILOR PUBLICE, DEZVOLTĂRII ŞI </w:t>
      </w:r>
      <w:r w:rsidRPr="000539C8">
        <w:rPr>
          <w:b/>
        </w:rPr>
        <w:t xml:space="preserve">ADMINISTRAȚIEI </w:t>
      </w:r>
    </w:p>
    <w:p w14:paraId="1B8B51C4" w14:textId="77777777" w:rsidR="006622B7" w:rsidRPr="000539C8" w:rsidRDefault="006622B7" w:rsidP="006A2E4E">
      <w:pPr>
        <w:tabs>
          <w:tab w:val="left" w:pos="90"/>
        </w:tabs>
        <w:spacing w:after="120"/>
        <w:jc w:val="center"/>
        <w:rPr>
          <w:b/>
        </w:rPr>
      </w:pPr>
    </w:p>
    <w:p w14:paraId="4ACC9D5A" w14:textId="77777777" w:rsidR="00026B13" w:rsidRPr="000539C8" w:rsidRDefault="00C01DF1" w:rsidP="006A2E4E">
      <w:pPr>
        <w:tabs>
          <w:tab w:val="left" w:pos="90"/>
        </w:tabs>
        <w:spacing w:after="120"/>
        <w:jc w:val="center"/>
        <w:rPr>
          <w:b/>
        </w:rPr>
      </w:pPr>
      <w:r w:rsidRPr="000539C8">
        <w:rPr>
          <w:b/>
        </w:rPr>
        <w:t>Ion ŞTEFAN</w:t>
      </w:r>
    </w:p>
    <w:p w14:paraId="26BD54AC" w14:textId="77777777" w:rsidR="005D4F6E" w:rsidRPr="00EB6BD7" w:rsidRDefault="005D4F6E" w:rsidP="006A2E4E">
      <w:pPr>
        <w:tabs>
          <w:tab w:val="left" w:pos="90"/>
        </w:tabs>
        <w:spacing w:after="120"/>
        <w:jc w:val="center"/>
        <w:rPr>
          <w:b/>
          <w:bCs/>
          <w:highlight w:val="yellow"/>
        </w:rPr>
      </w:pPr>
    </w:p>
    <w:p w14:paraId="48660F32" w14:textId="77777777" w:rsidR="006C38C6" w:rsidRPr="00F641CD" w:rsidRDefault="006C38C6" w:rsidP="006C38C6">
      <w:pPr>
        <w:tabs>
          <w:tab w:val="left" w:pos="90"/>
        </w:tabs>
        <w:spacing w:after="120"/>
        <w:jc w:val="center"/>
        <w:rPr>
          <w:b/>
        </w:rPr>
      </w:pPr>
      <w:r w:rsidRPr="00F641CD">
        <w:rPr>
          <w:b/>
        </w:rPr>
        <w:t>MINISTRUL AFACERILOR EXTERNE</w:t>
      </w:r>
    </w:p>
    <w:p w14:paraId="0E61BA4C" w14:textId="77777777" w:rsidR="006C38C6" w:rsidRPr="00F641CD" w:rsidRDefault="006C38C6" w:rsidP="006C38C6">
      <w:pPr>
        <w:tabs>
          <w:tab w:val="left" w:pos="90"/>
        </w:tabs>
        <w:spacing w:after="120"/>
        <w:jc w:val="center"/>
        <w:rPr>
          <w:b/>
          <w:lang w:val="en-US"/>
        </w:rPr>
      </w:pPr>
    </w:p>
    <w:p w14:paraId="5634B3E0" w14:textId="77777777" w:rsidR="006C38C6" w:rsidRPr="00F641CD" w:rsidRDefault="006C38C6" w:rsidP="006C38C6">
      <w:pPr>
        <w:tabs>
          <w:tab w:val="left" w:pos="90"/>
        </w:tabs>
        <w:spacing w:after="120"/>
        <w:jc w:val="center"/>
        <w:rPr>
          <w:b/>
          <w:lang w:val="en-US"/>
        </w:rPr>
      </w:pPr>
      <w:r w:rsidRPr="00F641CD">
        <w:rPr>
          <w:b/>
          <w:lang w:val="en-US"/>
        </w:rPr>
        <w:t>Bogdan Lucian AURESCU</w:t>
      </w:r>
    </w:p>
    <w:p w14:paraId="3EE5700B" w14:textId="77777777" w:rsidR="005D4F6E" w:rsidRDefault="005D4F6E" w:rsidP="006A2E4E">
      <w:pPr>
        <w:tabs>
          <w:tab w:val="left" w:pos="90"/>
        </w:tabs>
        <w:spacing w:after="120"/>
        <w:jc w:val="center"/>
        <w:rPr>
          <w:b/>
          <w:bCs/>
          <w:highlight w:val="yellow"/>
        </w:rPr>
      </w:pPr>
    </w:p>
    <w:p w14:paraId="03081D68" w14:textId="77777777" w:rsidR="006C38C6" w:rsidRPr="00EB6BD7" w:rsidRDefault="006C38C6" w:rsidP="006A2E4E">
      <w:pPr>
        <w:tabs>
          <w:tab w:val="left" w:pos="90"/>
        </w:tabs>
        <w:spacing w:after="120"/>
        <w:jc w:val="center"/>
        <w:rPr>
          <w:b/>
          <w:bCs/>
          <w:highlight w:val="yellow"/>
        </w:rPr>
      </w:pPr>
    </w:p>
    <w:p w14:paraId="695CD63A" w14:textId="77777777" w:rsidR="005D4F6E" w:rsidRPr="000539C8" w:rsidRDefault="005D4F6E" w:rsidP="006A2E4E">
      <w:pPr>
        <w:shd w:val="clear" w:color="auto" w:fill="FFFFFF"/>
        <w:tabs>
          <w:tab w:val="left" w:pos="90"/>
        </w:tabs>
        <w:spacing w:after="120"/>
        <w:jc w:val="center"/>
        <w:rPr>
          <w:rFonts w:eastAsia="Arial Unicode MS"/>
          <w:b/>
        </w:rPr>
      </w:pPr>
      <w:r w:rsidRPr="000539C8">
        <w:rPr>
          <w:rFonts w:eastAsia="Arial Unicode MS"/>
          <w:b/>
        </w:rPr>
        <w:t>MINISTRUL JUSTIŢIEI</w:t>
      </w:r>
    </w:p>
    <w:p w14:paraId="299358CC" w14:textId="77777777" w:rsidR="006622B7" w:rsidRPr="000539C8" w:rsidRDefault="006622B7" w:rsidP="006A2E4E">
      <w:pPr>
        <w:shd w:val="clear" w:color="auto" w:fill="FFFFFF"/>
        <w:tabs>
          <w:tab w:val="left" w:pos="90"/>
        </w:tabs>
        <w:spacing w:after="120"/>
        <w:jc w:val="center"/>
        <w:rPr>
          <w:rFonts w:eastAsia="Arial Unicode MS"/>
          <w:b/>
        </w:rPr>
      </w:pPr>
    </w:p>
    <w:p w14:paraId="43DEA210" w14:textId="2652FD16" w:rsidR="001F6607" w:rsidRPr="00EB6BD7" w:rsidRDefault="00C01DF1" w:rsidP="009C6713">
      <w:pPr>
        <w:shd w:val="clear" w:color="auto" w:fill="FFFFFF"/>
        <w:tabs>
          <w:tab w:val="left" w:pos="90"/>
        </w:tabs>
        <w:spacing w:after="120"/>
        <w:jc w:val="center"/>
        <w:rPr>
          <w:rFonts w:eastAsia="Arial Unicode MS"/>
        </w:rPr>
      </w:pPr>
      <w:r w:rsidRPr="000539C8">
        <w:rPr>
          <w:rFonts w:eastAsia="Arial Unicode MS"/>
          <w:b/>
        </w:rPr>
        <w:t xml:space="preserve">Cătălin </w:t>
      </w:r>
      <w:r w:rsidR="001F6607" w:rsidRPr="000539C8">
        <w:rPr>
          <w:rFonts w:eastAsia="Arial Unicode MS"/>
          <w:b/>
        </w:rPr>
        <w:t xml:space="preserve">Marian </w:t>
      </w:r>
      <w:r w:rsidRPr="000539C8">
        <w:rPr>
          <w:rFonts w:eastAsia="Arial Unicode MS"/>
          <w:b/>
        </w:rPr>
        <w:t>PREDOIU</w:t>
      </w:r>
      <w:r w:rsidRPr="00EB6BD7">
        <w:rPr>
          <w:rFonts w:eastAsia="Arial Unicode MS"/>
          <w:b/>
        </w:rPr>
        <w:t xml:space="preserve"> </w:t>
      </w:r>
      <w:bookmarkStart w:id="0" w:name="_GoBack"/>
      <w:bookmarkEnd w:id="0"/>
    </w:p>
    <w:sectPr w:rsidR="001F6607" w:rsidRPr="00EB6BD7" w:rsidSect="00565752">
      <w:footerReference w:type="even" r:id="rId8"/>
      <w:footerReference w:type="default" r:id="rId9"/>
      <w:pgSz w:w="12240" w:h="15840"/>
      <w:pgMar w:top="737" w:right="851" w:bottom="709"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EA907C" w16cid:durableId="222705B4"/>
  <w16cid:commentId w16cid:paraId="4707397F" w16cid:durableId="222705B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5CF68" w14:textId="77777777" w:rsidR="00086730" w:rsidRDefault="00086730">
      <w:r>
        <w:separator/>
      </w:r>
    </w:p>
  </w:endnote>
  <w:endnote w:type="continuationSeparator" w:id="0">
    <w:p w14:paraId="71F315DD" w14:textId="77777777" w:rsidR="00086730" w:rsidRDefault="00086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F676E" w14:textId="77777777" w:rsidR="00A65D25" w:rsidRDefault="00A65D25" w:rsidP="00A65D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BFEB49" w14:textId="77777777" w:rsidR="00A65D25" w:rsidRDefault="00A65D25" w:rsidP="00A65D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042087"/>
      <w:docPartObj>
        <w:docPartGallery w:val="Page Numbers (Bottom of Page)"/>
        <w:docPartUnique/>
      </w:docPartObj>
    </w:sdtPr>
    <w:sdtEndPr>
      <w:rPr>
        <w:noProof/>
      </w:rPr>
    </w:sdtEndPr>
    <w:sdtContent>
      <w:p w14:paraId="45A78E94" w14:textId="0DCCAE80" w:rsidR="00A65D25" w:rsidRDefault="00A65D25">
        <w:pPr>
          <w:pStyle w:val="Footer"/>
          <w:jc w:val="right"/>
        </w:pPr>
        <w:r>
          <w:fldChar w:fldCharType="begin"/>
        </w:r>
        <w:r>
          <w:instrText xml:space="preserve"> PAGE   \* MERGEFORMAT </w:instrText>
        </w:r>
        <w:r>
          <w:fldChar w:fldCharType="separate"/>
        </w:r>
        <w:r w:rsidR="009C6713">
          <w:rPr>
            <w:noProof/>
          </w:rPr>
          <w:t>11</w:t>
        </w:r>
        <w:r>
          <w:rPr>
            <w:noProof/>
          </w:rPr>
          <w:fldChar w:fldCharType="end"/>
        </w:r>
      </w:p>
    </w:sdtContent>
  </w:sdt>
  <w:p w14:paraId="48159E5B" w14:textId="77777777" w:rsidR="00A65D25" w:rsidRDefault="00A65D25" w:rsidP="00A65D2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2B08A" w14:textId="77777777" w:rsidR="00086730" w:rsidRDefault="00086730">
      <w:r>
        <w:separator/>
      </w:r>
    </w:p>
  </w:footnote>
  <w:footnote w:type="continuationSeparator" w:id="0">
    <w:p w14:paraId="27EC6797" w14:textId="77777777" w:rsidR="00086730" w:rsidRDefault="000867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B740"/>
      </v:shape>
    </w:pict>
  </w:numPicBullet>
  <w:abstractNum w:abstractNumId="0" w15:restartNumberingAfterBreak="0">
    <w:nsid w:val="04F13A38"/>
    <w:multiLevelType w:val="hybridMultilevel"/>
    <w:tmpl w:val="7A1270B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F00A49"/>
    <w:multiLevelType w:val="hybridMultilevel"/>
    <w:tmpl w:val="3D204100"/>
    <w:lvl w:ilvl="0" w:tplc="00E475A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A1890"/>
    <w:multiLevelType w:val="hybridMultilevel"/>
    <w:tmpl w:val="77764454"/>
    <w:lvl w:ilvl="0" w:tplc="136A20D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D07958"/>
    <w:multiLevelType w:val="hybridMultilevel"/>
    <w:tmpl w:val="CBC62922"/>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3E701AE6"/>
    <w:multiLevelType w:val="hybridMultilevel"/>
    <w:tmpl w:val="D9E49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EF635E"/>
    <w:multiLevelType w:val="hybridMultilevel"/>
    <w:tmpl w:val="A0AC5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24EEE"/>
    <w:multiLevelType w:val="hybridMultilevel"/>
    <w:tmpl w:val="C6B6E954"/>
    <w:lvl w:ilvl="0" w:tplc="04180007">
      <w:start w:val="1"/>
      <w:numFmt w:val="bullet"/>
      <w:lvlText w:val=""/>
      <w:lvlPicBulletId w:val="0"/>
      <w:lvlJc w:val="left"/>
      <w:pPr>
        <w:ind w:left="852" w:hanging="360"/>
      </w:pPr>
      <w:rPr>
        <w:rFonts w:ascii="Symbol" w:hAnsi="Symbol" w:hint="default"/>
      </w:rPr>
    </w:lvl>
    <w:lvl w:ilvl="1" w:tplc="04090009">
      <w:start w:val="1"/>
      <w:numFmt w:val="bullet"/>
      <w:lvlText w:val=""/>
      <w:lvlJc w:val="left"/>
      <w:pPr>
        <w:ind w:left="1572" w:hanging="360"/>
      </w:pPr>
      <w:rPr>
        <w:rFonts w:ascii="Wingdings" w:hAnsi="Wingdings" w:hint="default"/>
      </w:rPr>
    </w:lvl>
    <w:lvl w:ilvl="2" w:tplc="04180005">
      <w:start w:val="1"/>
      <w:numFmt w:val="bullet"/>
      <w:lvlText w:val=""/>
      <w:lvlJc w:val="left"/>
      <w:pPr>
        <w:ind w:left="2292" w:hanging="360"/>
      </w:pPr>
      <w:rPr>
        <w:rFonts w:ascii="Wingdings" w:hAnsi="Wingdings" w:hint="default"/>
      </w:rPr>
    </w:lvl>
    <w:lvl w:ilvl="3" w:tplc="04180001" w:tentative="1">
      <w:start w:val="1"/>
      <w:numFmt w:val="bullet"/>
      <w:lvlText w:val=""/>
      <w:lvlJc w:val="left"/>
      <w:pPr>
        <w:ind w:left="3012" w:hanging="360"/>
      </w:pPr>
      <w:rPr>
        <w:rFonts w:ascii="Symbol" w:hAnsi="Symbol" w:hint="default"/>
      </w:rPr>
    </w:lvl>
    <w:lvl w:ilvl="4" w:tplc="04180003" w:tentative="1">
      <w:start w:val="1"/>
      <w:numFmt w:val="bullet"/>
      <w:lvlText w:val="o"/>
      <w:lvlJc w:val="left"/>
      <w:pPr>
        <w:ind w:left="3732" w:hanging="360"/>
      </w:pPr>
      <w:rPr>
        <w:rFonts w:ascii="Courier New" w:hAnsi="Courier New" w:cs="Courier New" w:hint="default"/>
      </w:rPr>
    </w:lvl>
    <w:lvl w:ilvl="5" w:tplc="04180005" w:tentative="1">
      <w:start w:val="1"/>
      <w:numFmt w:val="bullet"/>
      <w:lvlText w:val=""/>
      <w:lvlJc w:val="left"/>
      <w:pPr>
        <w:ind w:left="4452" w:hanging="360"/>
      </w:pPr>
      <w:rPr>
        <w:rFonts w:ascii="Wingdings" w:hAnsi="Wingdings" w:hint="default"/>
      </w:rPr>
    </w:lvl>
    <w:lvl w:ilvl="6" w:tplc="04180001" w:tentative="1">
      <w:start w:val="1"/>
      <w:numFmt w:val="bullet"/>
      <w:lvlText w:val=""/>
      <w:lvlJc w:val="left"/>
      <w:pPr>
        <w:ind w:left="5172" w:hanging="360"/>
      </w:pPr>
      <w:rPr>
        <w:rFonts w:ascii="Symbol" w:hAnsi="Symbol" w:hint="default"/>
      </w:rPr>
    </w:lvl>
    <w:lvl w:ilvl="7" w:tplc="04180003" w:tentative="1">
      <w:start w:val="1"/>
      <w:numFmt w:val="bullet"/>
      <w:lvlText w:val="o"/>
      <w:lvlJc w:val="left"/>
      <w:pPr>
        <w:ind w:left="5892" w:hanging="360"/>
      </w:pPr>
      <w:rPr>
        <w:rFonts w:ascii="Courier New" w:hAnsi="Courier New" w:cs="Courier New" w:hint="default"/>
      </w:rPr>
    </w:lvl>
    <w:lvl w:ilvl="8" w:tplc="04180005" w:tentative="1">
      <w:start w:val="1"/>
      <w:numFmt w:val="bullet"/>
      <w:lvlText w:val=""/>
      <w:lvlJc w:val="left"/>
      <w:pPr>
        <w:ind w:left="6612" w:hanging="360"/>
      </w:pPr>
      <w:rPr>
        <w:rFonts w:ascii="Wingdings" w:hAnsi="Wingdings" w:hint="default"/>
      </w:rPr>
    </w:lvl>
  </w:abstractNum>
  <w:abstractNum w:abstractNumId="8"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1"/>
  </w:num>
  <w:num w:numId="2">
    <w:abstractNumId w:val="9"/>
  </w:num>
  <w:num w:numId="3">
    <w:abstractNumId w:val="8"/>
  </w:num>
  <w:num w:numId="4">
    <w:abstractNumId w:val="3"/>
  </w:num>
  <w:num w:numId="5">
    <w:abstractNumId w:val="7"/>
  </w:num>
  <w:num w:numId="6">
    <w:abstractNumId w:val="0"/>
  </w:num>
  <w:num w:numId="7">
    <w:abstractNumId w:val="6"/>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155D5"/>
    <w:rsid w:val="00017D04"/>
    <w:rsid w:val="000254C0"/>
    <w:rsid w:val="00026B13"/>
    <w:rsid w:val="00050120"/>
    <w:rsid w:val="000539C8"/>
    <w:rsid w:val="00064A6B"/>
    <w:rsid w:val="000702A2"/>
    <w:rsid w:val="00073195"/>
    <w:rsid w:val="000733D3"/>
    <w:rsid w:val="00073435"/>
    <w:rsid w:val="00085B83"/>
    <w:rsid w:val="00086730"/>
    <w:rsid w:val="000A6298"/>
    <w:rsid w:val="000C15F6"/>
    <w:rsid w:val="000C49F6"/>
    <w:rsid w:val="000C7EAF"/>
    <w:rsid w:val="000D4C09"/>
    <w:rsid w:val="000F400F"/>
    <w:rsid w:val="000F4D08"/>
    <w:rsid w:val="00101A9B"/>
    <w:rsid w:val="0010482B"/>
    <w:rsid w:val="00107736"/>
    <w:rsid w:val="00107E28"/>
    <w:rsid w:val="00112E9E"/>
    <w:rsid w:val="001204BD"/>
    <w:rsid w:val="00121CCC"/>
    <w:rsid w:val="001328E4"/>
    <w:rsid w:val="00133A3B"/>
    <w:rsid w:val="00135D7F"/>
    <w:rsid w:val="00136DA7"/>
    <w:rsid w:val="00155E02"/>
    <w:rsid w:val="0015762E"/>
    <w:rsid w:val="00161A61"/>
    <w:rsid w:val="00164FF3"/>
    <w:rsid w:val="00166CFB"/>
    <w:rsid w:val="001714AF"/>
    <w:rsid w:val="00174D24"/>
    <w:rsid w:val="00177D3C"/>
    <w:rsid w:val="00182204"/>
    <w:rsid w:val="001A374F"/>
    <w:rsid w:val="001A605F"/>
    <w:rsid w:val="001A78A0"/>
    <w:rsid w:val="001B3861"/>
    <w:rsid w:val="001B4809"/>
    <w:rsid w:val="001B6DD8"/>
    <w:rsid w:val="001C34AC"/>
    <w:rsid w:val="001C7510"/>
    <w:rsid w:val="001D4149"/>
    <w:rsid w:val="001E058E"/>
    <w:rsid w:val="001E20A3"/>
    <w:rsid w:val="001F14A2"/>
    <w:rsid w:val="001F6607"/>
    <w:rsid w:val="001F700D"/>
    <w:rsid w:val="00200637"/>
    <w:rsid w:val="0021248D"/>
    <w:rsid w:val="00213BDB"/>
    <w:rsid w:val="00215A59"/>
    <w:rsid w:val="00221987"/>
    <w:rsid w:val="00233D49"/>
    <w:rsid w:val="00244124"/>
    <w:rsid w:val="00244CF8"/>
    <w:rsid w:val="00256214"/>
    <w:rsid w:val="00261EB6"/>
    <w:rsid w:val="0027750A"/>
    <w:rsid w:val="00280BAF"/>
    <w:rsid w:val="00286173"/>
    <w:rsid w:val="00286DEC"/>
    <w:rsid w:val="0029558C"/>
    <w:rsid w:val="002A7775"/>
    <w:rsid w:val="002B2155"/>
    <w:rsid w:val="002C6EEE"/>
    <w:rsid w:val="002D2048"/>
    <w:rsid w:val="002E1BEB"/>
    <w:rsid w:val="002E22BC"/>
    <w:rsid w:val="002E6018"/>
    <w:rsid w:val="002E7E37"/>
    <w:rsid w:val="002F01BF"/>
    <w:rsid w:val="002F2645"/>
    <w:rsid w:val="00302D6F"/>
    <w:rsid w:val="00305061"/>
    <w:rsid w:val="00306119"/>
    <w:rsid w:val="00306D5B"/>
    <w:rsid w:val="003179ED"/>
    <w:rsid w:val="00322480"/>
    <w:rsid w:val="00332FEB"/>
    <w:rsid w:val="00335301"/>
    <w:rsid w:val="003456BD"/>
    <w:rsid w:val="003549A5"/>
    <w:rsid w:val="003605E7"/>
    <w:rsid w:val="00364AF0"/>
    <w:rsid w:val="003731C9"/>
    <w:rsid w:val="00373F5A"/>
    <w:rsid w:val="0037559F"/>
    <w:rsid w:val="003906BF"/>
    <w:rsid w:val="00390E31"/>
    <w:rsid w:val="003B36D3"/>
    <w:rsid w:val="003B3A2C"/>
    <w:rsid w:val="003B424D"/>
    <w:rsid w:val="003D6235"/>
    <w:rsid w:val="003E2C93"/>
    <w:rsid w:val="003E3A39"/>
    <w:rsid w:val="003F5CF6"/>
    <w:rsid w:val="0041039C"/>
    <w:rsid w:val="00412E11"/>
    <w:rsid w:val="00423C3B"/>
    <w:rsid w:val="004248D9"/>
    <w:rsid w:val="00425D30"/>
    <w:rsid w:val="004264B2"/>
    <w:rsid w:val="00431622"/>
    <w:rsid w:val="004362A6"/>
    <w:rsid w:val="00440136"/>
    <w:rsid w:val="004449A8"/>
    <w:rsid w:val="00445A50"/>
    <w:rsid w:val="0047738F"/>
    <w:rsid w:val="004806BE"/>
    <w:rsid w:val="00484A96"/>
    <w:rsid w:val="004A26E1"/>
    <w:rsid w:val="004A39EE"/>
    <w:rsid w:val="004A6FCC"/>
    <w:rsid w:val="004B1ABD"/>
    <w:rsid w:val="004C3CA3"/>
    <w:rsid w:val="004D5BA3"/>
    <w:rsid w:val="004E40FD"/>
    <w:rsid w:val="004E789F"/>
    <w:rsid w:val="004F2D35"/>
    <w:rsid w:val="004F551E"/>
    <w:rsid w:val="00505AF3"/>
    <w:rsid w:val="00527866"/>
    <w:rsid w:val="00530AC8"/>
    <w:rsid w:val="0053145E"/>
    <w:rsid w:val="00533E19"/>
    <w:rsid w:val="00534276"/>
    <w:rsid w:val="00537836"/>
    <w:rsid w:val="00542411"/>
    <w:rsid w:val="00565752"/>
    <w:rsid w:val="0057730A"/>
    <w:rsid w:val="00577623"/>
    <w:rsid w:val="005921AC"/>
    <w:rsid w:val="005A47ED"/>
    <w:rsid w:val="005A5A3E"/>
    <w:rsid w:val="005B1DF4"/>
    <w:rsid w:val="005B31F7"/>
    <w:rsid w:val="005B58FF"/>
    <w:rsid w:val="005C2F53"/>
    <w:rsid w:val="005C4B05"/>
    <w:rsid w:val="005C6ED1"/>
    <w:rsid w:val="005D05C7"/>
    <w:rsid w:val="005D0CAA"/>
    <w:rsid w:val="005D33F6"/>
    <w:rsid w:val="005D4F6E"/>
    <w:rsid w:val="005E662E"/>
    <w:rsid w:val="005E6BD7"/>
    <w:rsid w:val="005F021A"/>
    <w:rsid w:val="00601913"/>
    <w:rsid w:val="00602A2D"/>
    <w:rsid w:val="0060421A"/>
    <w:rsid w:val="00613F01"/>
    <w:rsid w:val="006149FE"/>
    <w:rsid w:val="006259CC"/>
    <w:rsid w:val="006317CC"/>
    <w:rsid w:val="00636AA1"/>
    <w:rsid w:val="0063758C"/>
    <w:rsid w:val="0064508C"/>
    <w:rsid w:val="006467F1"/>
    <w:rsid w:val="00652918"/>
    <w:rsid w:val="00652E1B"/>
    <w:rsid w:val="006600DC"/>
    <w:rsid w:val="006622B7"/>
    <w:rsid w:val="00662E0D"/>
    <w:rsid w:val="00670C79"/>
    <w:rsid w:val="00670DA7"/>
    <w:rsid w:val="0067373F"/>
    <w:rsid w:val="006737CE"/>
    <w:rsid w:val="00677B92"/>
    <w:rsid w:val="00692726"/>
    <w:rsid w:val="006947BD"/>
    <w:rsid w:val="00696435"/>
    <w:rsid w:val="006A2E4E"/>
    <w:rsid w:val="006A380E"/>
    <w:rsid w:val="006B075E"/>
    <w:rsid w:val="006B0F3D"/>
    <w:rsid w:val="006B7D56"/>
    <w:rsid w:val="006C38C6"/>
    <w:rsid w:val="006C63AE"/>
    <w:rsid w:val="006C711B"/>
    <w:rsid w:val="006D2296"/>
    <w:rsid w:val="006D6732"/>
    <w:rsid w:val="006E4FBF"/>
    <w:rsid w:val="006F350D"/>
    <w:rsid w:val="006F72EC"/>
    <w:rsid w:val="00713515"/>
    <w:rsid w:val="00717ED2"/>
    <w:rsid w:val="00720217"/>
    <w:rsid w:val="00723AC4"/>
    <w:rsid w:val="00723BA7"/>
    <w:rsid w:val="00726D70"/>
    <w:rsid w:val="00726FCE"/>
    <w:rsid w:val="00735154"/>
    <w:rsid w:val="00741AA7"/>
    <w:rsid w:val="00761EA7"/>
    <w:rsid w:val="00763CC1"/>
    <w:rsid w:val="007678A9"/>
    <w:rsid w:val="0078560D"/>
    <w:rsid w:val="00786699"/>
    <w:rsid w:val="007877F4"/>
    <w:rsid w:val="00793B14"/>
    <w:rsid w:val="00797751"/>
    <w:rsid w:val="007A5914"/>
    <w:rsid w:val="007B37F8"/>
    <w:rsid w:val="007B6F18"/>
    <w:rsid w:val="007C375E"/>
    <w:rsid w:val="007D6BE6"/>
    <w:rsid w:val="007E2F46"/>
    <w:rsid w:val="007F1956"/>
    <w:rsid w:val="00812F1A"/>
    <w:rsid w:val="00821E21"/>
    <w:rsid w:val="00823B92"/>
    <w:rsid w:val="008438F3"/>
    <w:rsid w:val="00843E24"/>
    <w:rsid w:val="00857F6E"/>
    <w:rsid w:val="008705E3"/>
    <w:rsid w:val="0087248D"/>
    <w:rsid w:val="00873608"/>
    <w:rsid w:val="008752C0"/>
    <w:rsid w:val="00882CD7"/>
    <w:rsid w:val="00892629"/>
    <w:rsid w:val="008965DD"/>
    <w:rsid w:val="008A185A"/>
    <w:rsid w:val="008A1CD6"/>
    <w:rsid w:val="008A2707"/>
    <w:rsid w:val="008A3EC9"/>
    <w:rsid w:val="008B2AA3"/>
    <w:rsid w:val="008B33C1"/>
    <w:rsid w:val="008B707D"/>
    <w:rsid w:val="008C6322"/>
    <w:rsid w:val="008C7047"/>
    <w:rsid w:val="008D498E"/>
    <w:rsid w:val="008E14AF"/>
    <w:rsid w:val="008E251D"/>
    <w:rsid w:val="008E3D03"/>
    <w:rsid w:val="008F2DE2"/>
    <w:rsid w:val="008F32CD"/>
    <w:rsid w:val="008F35A0"/>
    <w:rsid w:val="008F41E3"/>
    <w:rsid w:val="008F6F40"/>
    <w:rsid w:val="00907A95"/>
    <w:rsid w:val="00907AEA"/>
    <w:rsid w:val="00911BC0"/>
    <w:rsid w:val="00923B3E"/>
    <w:rsid w:val="00926605"/>
    <w:rsid w:val="00931AF0"/>
    <w:rsid w:val="00934F67"/>
    <w:rsid w:val="00935C77"/>
    <w:rsid w:val="00947EA6"/>
    <w:rsid w:val="00953180"/>
    <w:rsid w:val="00954311"/>
    <w:rsid w:val="0095776C"/>
    <w:rsid w:val="0096680B"/>
    <w:rsid w:val="00966D02"/>
    <w:rsid w:val="00970C9E"/>
    <w:rsid w:val="00971C78"/>
    <w:rsid w:val="009817E8"/>
    <w:rsid w:val="00996E8E"/>
    <w:rsid w:val="009B23F7"/>
    <w:rsid w:val="009B71DC"/>
    <w:rsid w:val="009C238D"/>
    <w:rsid w:val="009C45F4"/>
    <w:rsid w:val="009C5EAE"/>
    <w:rsid w:val="009C6713"/>
    <w:rsid w:val="009D1D6F"/>
    <w:rsid w:val="009D4DAF"/>
    <w:rsid w:val="009D7C51"/>
    <w:rsid w:val="009E29C9"/>
    <w:rsid w:val="009E6591"/>
    <w:rsid w:val="009F327C"/>
    <w:rsid w:val="009F799C"/>
    <w:rsid w:val="00A040A4"/>
    <w:rsid w:val="00A20814"/>
    <w:rsid w:val="00A24686"/>
    <w:rsid w:val="00A31761"/>
    <w:rsid w:val="00A33926"/>
    <w:rsid w:val="00A35590"/>
    <w:rsid w:val="00A44D23"/>
    <w:rsid w:val="00A51253"/>
    <w:rsid w:val="00A53D82"/>
    <w:rsid w:val="00A54C53"/>
    <w:rsid w:val="00A57E5E"/>
    <w:rsid w:val="00A63839"/>
    <w:rsid w:val="00A65D25"/>
    <w:rsid w:val="00A83729"/>
    <w:rsid w:val="00A87CB4"/>
    <w:rsid w:val="00A93216"/>
    <w:rsid w:val="00A93519"/>
    <w:rsid w:val="00A93F34"/>
    <w:rsid w:val="00AB130A"/>
    <w:rsid w:val="00AB2920"/>
    <w:rsid w:val="00AB7E33"/>
    <w:rsid w:val="00AC3642"/>
    <w:rsid w:val="00AD2F3F"/>
    <w:rsid w:val="00AD4DD2"/>
    <w:rsid w:val="00B21946"/>
    <w:rsid w:val="00B505F9"/>
    <w:rsid w:val="00B94D48"/>
    <w:rsid w:val="00BA47F0"/>
    <w:rsid w:val="00BA4E0F"/>
    <w:rsid w:val="00BB2E04"/>
    <w:rsid w:val="00BB34E3"/>
    <w:rsid w:val="00BB5721"/>
    <w:rsid w:val="00BC6172"/>
    <w:rsid w:val="00BD4914"/>
    <w:rsid w:val="00BD55B7"/>
    <w:rsid w:val="00BF0642"/>
    <w:rsid w:val="00BF29AC"/>
    <w:rsid w:val="00C005BC"/>
    <w:rsid w:val="00C01DF1"/>
    <w:rsid w:val="00C04446"/>
    <w:rsid w:val="00C10B3B"/>
    <w:rsid w:val="00C224C0"/>
    <w:rsid w:val="00C249F4"/>
    <w:rsid w:val="00C2672D"/>
    <w:rsid w:val="00C40481"/>
    <w:rsid w:val="00C44368"/>
    <w:rsid w:val="00C541DA"/>
    <w:rsid w:val="00C57FF1"/>
    <w:rsid w:val="00C62223"/>
    <w:rsid w:val="00C73C49"/>
    <w:rsid w:val="00C8303E"/>
    <w:rsid w:val="00C84EC9"/>
    <w:rsid w:val="00C9066A"/>
    <w:rsid w:val="00C956BB"/>
    <w:rsid w:val="00CA26DB"/>
    <w:rsid w:val="00CA560E"/>
    <w:rsid w:val="00CB0A5E"/>
    <w:rsid w:val="00CB247A"/>
    <w:rsid w:val="00CB6C17"/>
    <w:rsid w:val="00CC060B"/>
    <w:rsid w:val="00CC1CB4"/>
    <w:rsid w:val="00CC48D7"/>
    <w:rsid w:val="00CD2EA0"/>
    <w:rsid w:val="00CD681E"/>
    <w:rsid w:val="00CE2716"/>
    <w:rsid w:val="00CE461E"/>
    <w:rsid w:val="00CE519D"/>
    <w:rsid w:val="00CE699E"/>
    <w:rsid w:val="00CE7B3A"/>
    <w:rsid w:val="00CF5CDF"/>
    <w:rsid w:val="00CF7D07"/>
    <w:rsid w:val="00D0118E"/>
    <w:rsid w:val="00D03109"/>
    <w:rsid w:val="00D100AF"/>
    <w:rsid w:val="00D35543"/>
    <w:rsid w:val="00D4085F"/>
    <w:rsid w:val="00D43767"/>
    <w:rsid w:val="00D52251"/>
    <w:rsid w:val="00D60512"/>
    <w:rsid w:val="00D62AF8"/>
    <w:rsid w:val="00D63CCB"/>
    <w:rsid w:val="00D72E61"/>
    <w:rsid w:val="00D7465B"/>
    <w:rsid w:val="00D81ED9"/>
    <w:rsid w:val="00D94C5D"/>
    <w:rsid w:val="00DA0CB6"/>
    <w:rsid w:val="00DA3DF4"/>
    <w:rsid w:val="00DB02E7"/>
    <w:rsid w:val="00DB19FF"/>
    <w:rsid w:val="00DB456B"/>
    <w:rsid w:val="00DB6D2A"/>
    <w:rsid w:val="00DD0632"/>
    <w:rsid w:val="00DE4AF4"/>
    <w:rsid w:val="00DE7345"/>
    <w:rsid w:val="00E020B4"/>
    <w:rsid w:val="00E02889"/>
    <w:rsid w:val="00E07299"/>
    <w:rsid w:val="00E17A0A"/>
    <w:rsid w:val="00E27D5F"/>
    <w:rsid w:val="00E4032F"/>
    <w:rsid w:val="00E5016E"/>
    <w:rsid w:val="00E525DB"/>
    <w:rsid w:val="00E541DB"/>
    <w:rsid w:val="00E661DA"/>
    <w:rsid w:val="00E6795C"/>
    <w:rsid w:val="00E72D9D"/>
    <w:rsid w:val="00E754B4"/>
    <w:rsid w:val="00E760AA"/>
    <w:rsid w:val="00E76E8C"/>
    <w:rsid w:val="00E963FB"/>
    <w:rsid w:val="00EA658A"/>
    <w:rsid w:val="00EB6BD7"/>
    <w:rsid w:val="00EC2D8B"/>
    <w:rsid w:val="00ED488E"/>
    <w:rsid w:val="00EE46DE"/>
    <w:rsid w:val="00EF2A2C"/>
    <w:rsid w:val="00EF30E5"/>
    <w:rsid w:val="00EF5746"/>
    <w:rsid w:val="00EF587D"/>
    <w:rsid w:val="00EF64EF"/>
    <w:rsid w:val="00F06D25"/>
    <w:rsid w:val="00F1512E"/>
    <w:rsid w:val="00F24977"/>
    <w:rsid w:val="00F24B2C"/>
    <w:rsid w:val="00F26279"/>
    <w:rsid w:val="00F27C6C"/>
    <w:rsid w:val="00F37A62"/>
    <w:rsid w:val="00F41AA4"/>
    <w:rsid w:val="00F45A78"/>
    <w:rsid w:val="00F618F1"/>
    <w:rsid w:val="00F619C1"/>
    <w:rsid w:val="00F73D39"/>
    <w:rsid w:val="00F85C52"/>
    <w:rsid w:val="00FA1077"/>
    <w:rsid w:val="00FA395B"/>
    <w:rsid w:val="00FA47DC"/>
    <w:rsid w:val="00FA6179"/>
    <w:rsid w:val="00FB2692"/>
    <w:rsid w:val="00FB5FAE"/>
    <w:rsid w:val="00FB676B"/>
    <w:rsid w:val="00FD0D95"/>
    <w:rsid w:val="00FD6CF0"/>
    <w:rsid w:val="00FD7CF9"/>
    <w:rsid w:val="00FE39A9"/>
    <w:rsid w:val="00FF1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BCF50"/>
  <w15:docId w15:val="{6D414C40-6154-4244-AA40-03A1A4AB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CE7B3A"/>
    <w:rPr>
      <w:sz w:val="16"/>
      <w:szCs w:val="16"/>
    </w:rPr>
  </w:style>
  <w:style w:type="paragraph" w:styleId="CommentText">
    <w:name w:val="annotation text"/>
    <w:basedOn w:val="Normal"/>
    <w:link w:val="CommentTextChar"/>
    <w:uiPriority w:val="99"/>
    <w:semiHidden/>
    <w:unhideWhenUsed/>
    <w:rsid w:val="00CE7B3A"/>
    <w:rPr>
      <w:sz w:val="20"/>
      <w:szCs w:val="20"/>
    </w:rPr>
  </w:style>
  <w:style w:type="character" w:customStyle="1" w:styleId="CommentTextChar">
    <w:name w:val="Comment Text Char"/>
    <w:basedOn w:val="DefaultParagraphFont"/>
    <w:link w:val="CommentText"/>
    <w:uiPriority w:val="99"/>
    <w:semiHidden/>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Table of contents numbered,List_Paragraph,Multilevel para_II,Bullet 1,Akapit z listą BS,Outlines a.b.c.,bu,b,lp1"/>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Table of contents numbered Char,List_Paragraph Char,bu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paragraph" w:styleId="PlainText">
    <w:name w:val="Plain Text"/>
    <w:basedOn w:val="Normal"/>
    <w:link w:val="PlainTextChar"/>
    <w:uiPriority w:val="99"/>
    <w:unhideWhenUsed/>
    <w:rsid w:val="005B1DF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B1DF4"/>
    <w:rPr>
      <w:rFonts w:ascii="Calibri" w:hAnsi="Calibri"/>
      <w:szCs w:val="21"/>
      <w:lang w:val="ro-RO"/>
    </w:rPr>
  </w:style>
  <w:style w:type="paragraph" w:customStyle="1" w:styleId="al">
    <w:name w:val="a_l"/>
    <w:basedOn w:val="Normal"/>
    <w:rsid w:val="00A31761"/>
    <w:pPr>
      <w:spacing w:before="100" w:beforeAutospacing="1" w:after="100" w:afterAutospacing="1"/>
    </w:pPr>
    <w:rPr>
      <w:rFonts w:ascii="Times" w:eastAsiaTheme="minorHAnsi" w:hAnsi="Times" w:cstheme="minorBid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4357">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0886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5D0D-0052-4F8C-A3D6-FE4CD223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4054</Words>
  <Characters>23109</Characters>
  <Application>Microsoft Office Word</Application>
  <DocSecurity>0</DocSecurity>
  <Lines>192</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Cristina Badescu</cp:lastModifiedBy>
  <cp:revision>2</cp:revision>
  <cp:lastPrinted>2020-04-09T08:23:00Z</cp:lastPrinted>
  <dcterms:created xsi:type="dcterms:W3CDTF">2020-04-09T09:47:00Z</dcterms:created>
  <dcterms:modified xsi:type="dcterms:W3CDTF">2020-04-09T09:47:00Z</dcterms:modified>
</cp:coreProperties>
</file>